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C52F4" w:rsidRPr="00D87366" w14:paraId="76CADFA2" w14:textId="77777777" w:rsidTr="00567060">
        <w:tc>
          <w:tcPr>
            <w:tcW w:w="1435" w:type="dxa"/>
            <w:shd w:val="clear" w:color="auto" w:fill="B3FFFF"/>
          </w:tcPr>
          <w:p w14:paraId="454D81EA" w14:textId="66FBB306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bookmarkStart w:id="0" w:name="_GoBack"/>
            <w:bookmarkEnd w:id="0"/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 Código y título</w:t>
            </w:r>
            <w:r w:rsidR="00567060"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7915" w:type="dxa"/>
          </w:tcPr>
          <w:p w14:paraId="497DB663" w14:textId="0091FE4E" w:rsidR="004C52F4" w:rsidRPr="00567060" w:rsidRDefault="00EA3B3C" w:rsidP="00E872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HE1: </w:t>
            </w:r>
            <w:r w:rsidR="007C76BA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</w:t>
            </w:r>
            <w:r w:rsidR="00DE69B1" w:rsidRPr="00DE69B1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efugiados y migrantes de Venezuela </w:t>
            </w:r>
            <w:r w:rsidR="00E8725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con </w:t>
            </w:r>
            <w:r w:rsidR="00DE69B1" w:rsidRPr="00DE69B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atención primaria de salud</w:t>
            </w:r>
          </w:p>
        </w:tc>
      </w:tr>
      <w:tr w:rsidR="00567060" w:rsidRPr="00D87366" w14:paraId="1246BE4C" w14:textId="77777777" w:rsidTr="00D31BDE">
        <w:trPr>
          <w:trHeight w:val="524"/>
        </w:trPr>
        <w:tc>
          <w:tcPr>
            <w:tcW w:w="1435" w:type="dxa"/>
            <w:shd w:val="clear" w:color="auto" w:fill="B3FFFF"/>
          </w:tcPr>
          <w:p w14:paraId="1C9055D8" w14:textId="610FDC39" w:rsidR="00567060" w:rsidRPr="00567060" w:rsidRDefault="00567060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2D6D3D94" w14:textId="5825FAB7" w:rsidR="002B3C76" w:rsidRDefault="007604E9" w:rsidP="007604E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 w:rsidR="00E8725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personas con </w:t>
            </w:r>
            <w:r w:rsidR="00DE69B1" w:rsidRPr="00DE69B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consultas de atención primaria de salud</w:t>
            </w:r>
          </w:p>
          <w:p w14:paraId="6839F3B1" w14:textId="016145F2" w:rsidR="00DE69B1" w:rsidRPr="00567060" w:rsidRDefault="00DE69B1" w:rsidP="007604E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85735D" w14:paraId="142E1C78" w14:textId="77777777" w:rsidTr="00567060">
        <w:tc>
          <w:tcPr>
            <w:tcW w:w="1435" w:type="dxa"/>
            <w:shd w:val="clear" w:color="auto" w:fill="B3FFFF"/>
          </w:tcPr>
          <w:p w14:paraId="0E50070A" w14:textId="6BBEA373" w:rsidR="0085735D" w:rsidRPr="00567060" w:rsidRDefault="0085735D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2F2AB352" w14:textId="6DF19643" w:rsidR="0085735D" w:rsidRDefault="007B1DD0" w:rsidP="007604E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en necesidad</w:t>
            </w:r>
          </w:p>
        </w:tc>
      </w:tr>
      <w:tr w:rsidR="003511D4" w:rsidRPr="00D87366" w14:paraId="6F3A3B2E" w14:textId="77777777" w:rsidTr="00567060">
        <w:tc>
          <w:tcPr>
            <w:tcW w:w="1435" w:type="dxa"/>
            <w:shd w:val="clear" w:color="auto" w:fill="B3FFFF"/>
          </w:tcPr>
          <w:p w14:paraId="7FC60E47" w14:textId="19173AFC" w:rsidR="003511D4" w:rsidRPr="00567060" w:rsidRDefault="00A153FF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6C1EA8AF" w14:textId="42F86796" w:rsidR="003511D4" w:rsidRPr="007B5064" w:rsidRDefault="007B5064" w:rsidP="007B5064">
            <w:pPr>
              <w:jc w:val="both"/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refugiados y migrantes reciben atención, insumos e información de salud</w:t>
            </w:r>
          </w:p>
        </w:tc>
      </w:tr>
      <w:tr w:rsidR="004C52F4" w:rsidRPr="00D87366" w14:paraId="72A8C0E1" w14:textId="77777777" w:rsidTr="00567060">
        <w:tc>
          <w:tcPr>
            <w:tcW w:w="1435" w:type="dxa"/>
            <w:shd w:val="clear" w:color="auto" w:fill="B3FFFF"/>
          </w:tcPr>
          <w:p w14:paraId="5FF24ABA" w14:textId="388057E4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6D29AB97" w14:textId="24B0F0F7" w:rsidR="001A5EAF" w:rsidRPr="00567060" w:rsidRDefault="001A5EAF" w:rsidP="0045759C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Este indicador mide el acceso de las personas refugiadas y migrantes procedentes de Venezuela, a </w:t>
            </w:r>
            <w:r w:rsidR="003963B7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primeros niveles de complejidad de salud (ejemplo: puestos, centros)</w:t>
            </w:r>
            <w:r w:rsidR="008C7CF8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  <w:r w:rsidR="003B2629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para recibir los siguientes tipos de </w:t>
            </w:r>
            <w:r w:rsidR="008C7CF8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consultas</w:t>
            </w:r>
            <w:r w:rsidR="003B2629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:</w:t>
            </w:r>
            <w:r w:rsidR="008C7CF8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  <w:r w:rsidRPr="00DE69B1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TBC, COVID-19, VIH / SIDA, enfermedades no transmisibles, salud mental,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salud materna e infantil, salud </w:t>
            </w:r>
            <w:r w:rsidRPr="00DE69B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sexual y repro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ductiva incluyendo planificación familiar, ITS, apoyo psicosocial, emergencias, </w:t>
            </w:r>
            <w:r w:rsidR="0045759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atención de discapacidades,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prevención y atención de violencia basada en género incluido el manejo clínico de la violencia sexual, entre otras.</w:t>
            </w:r>
          </w:p>
        </w:tc>
      </w:tr>
      <w:tr w:rsidR="004C52F4" w:rsidRPr="00D87366" w14:paraId="6AB8D9C6" w14:textId="77777777" w:rsidTr="00567060">
        <w:tc>
          <w:tcPr>
            <w:tcW w:w="1435" w:type="dxa"/>
            <w:shd w:val="clear" w:color="auto" w:fill="B3FFFF"/>
          </w:tcPr>
          <w:p w14:paraId="4EFC6FD9" w14:textId="1B277E00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455BB844" w14:textId="3F9488A6" w:rsidR="00567060" w:rsidRPr="00567060" w:rsidRDefault="00567060" w:rsidP="003B2629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El indicador propuesto está destinado a </w:t>
            </w:r>
            <w:r w:rsidR="0038660C"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tener información </w:t>
            </w:r>
            <w:r w:rsidR="00D479ED"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sobre la atención primaria que reciben los refugiados y migrantes en los países receptores,</w:t>
            </w:r>
            <w:r w:rsid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considerando los </w:t>
            </w:r>
            <w:r w:rsidR="00D479ED"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diferentes tipos de atenciones e intervenciones de los programas de salud pública que son prestados por los integrantes de las plataformas nacionales</w:t>
            </w: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</w:tc>
      </w:tr>
      <w:tr w:rsidR="004C52F4" w:rsidRPr="00D87366" w14:paraId="73F3AFA3" w14:textId="77777777" w:rsidTr="00567060">
        <w:tc>
          <w:tcPr>
            <w:tcW w:w="1435" w:type="dxa"/>
            <w:shd w:val="clear" w:color="auto" w:fill="B3FFFF"/>
          </w:tcPr>
          <w:p w14:paraId="3BC8C115" w14:textId="5E0BDF1C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5167248F" w14:textId="4F2EC9C4" w:rsidR="00A107BE" w:rsidRDefault="00567060" w:rsidP="005D1833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8C7CF8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8C7CF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 w:rsidR="0038660C" w:rsidRPr="008C7CF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se realiza la </w:t>
            </w:r>
            <w:r w:rsidR="00A107B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s</w:t>
            </w:r>
            <w:r w:rsidR="00A107BE" w:rsidRPr="00A107B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umatoria del número de personas refugiadas y migrantes que han recibido cualquiera de los tipos de consultas. Las consultas deben haber sido brindadas directamente por los socios que forman parte del sector salud de las plataformas nacionales.</w:t>
            </w:r>
          </w:p>
          <w:p w14:paraId="1FA40F82" w14:textId="442D0B51" w:rsidR="00567060" w:rsidRPr="00567060" w:rsidRDefault="00567060" w:rsidP="00EA3B3C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EE2BF2">
              <w:rPr>
                <w:rFonts w:cstheme="minorHAnsi"/>
                <w:iCs/>
                <w:sz w:val="16"/>
                <w:szCs w:val="16"/>
                <w:lang w:val="es-419"/>
              </w:rPr>
              <w:t xml:space="preserve">Se suman los países </w:t>
            </w:r>
            <w:r w:rsidR="00EA3B3C">
              <w:rPr>
                <w:rFonts w:cstheme="minorHAnsi"/>
                <w:iCs/>
                <w:sz w:val="16"/>
                <w:szCs w:val="16"/>
                <w:lang w:val="es-419"/>
              </w:rPr>
              <w:t>que reportan que los refugiados y migrantes reciben consultas de atención primaria en salud.</w:t>
            </w:r>
          </w:p>
        </w:tc>
      </w:tr>
      <w:tr w:rsidR="004C52F4" w:rsidRPr="00567060" w14:paraId="0D1249D5" w14:textId="77777777" w:rsidTr="00567060">
        <w:tc>
          <w:tcPr>
            <w:tcW w:w="1435" w:type="dxa"/>
            <w:shd w:val="clear" w:color="auto" w:fill="B3FFFF"/>
          </w:tcPr>
          <w:p w14:paraId="66A5F001" w14:textId="462CFDE4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1184D50A" w14:textId="77777777" w:rsidR="00567060" w:rsidRDefault="00567060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06F556DE" w14:textId="4DF93ACA" w:rsidR="0033592E" w:rsidRPr="00567060" w:rsidRDefault="0033592E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4C52F4" w:rsidRPr="003963B7" w14:paraId="5197AF8D" w14:textId="77777777" w:rsidTr="00567060">
        <w:tc>
          <w:tcPr>
            <w:tcW w:w="1435" w:type="dxa"/>
            <w:shd w:val="clear" w:color="auto" w:fill="B3FFFF"/>
          </w:tcPr>
          <w:p w14:paraId="11A7394A" w14:textId="52D012F9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51DB2A62" w14:textId="77777777" w:rsidR="00567060" w:rsidRDefault="00567060" w:rsidP="00B66A5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N</w:t>
            </w:r>
            <w:r w:rsidR="00152C6C"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úmero de </w:t>
            </w:r>
            <w:r w:rsidR="00B66A5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atendidas</w:t>
            </w:r>
          </w:p>
          <w:p w14:paraId="574D753E" w14:textId="0D95915E" w:rsidR="0088474E" w:rsidRPr="00152C6C" w:rsidRDefault="0088474E" w:rsidP="00B66A5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4C52F4" w:rsidRPr="00D87366" w14:paraId="4F85B9FE" w14:textId="77777777" w:rsidTr="00567060">
        <w:tc>
          <w:tcPr>
            <w:tcW w:w="1435" w:type="dxa"/>
            <w:shd w:val="clear" w:color="auto" w:fill="B3FFFF"/>
          </w:tcPr>
          <w:p w14:paraId="4336A0DE" w14:textId="2720BE8F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17BA06D0" w14:textId="40E2A704" w:rsidR="004E4367" w:rsidRDefault="004E4367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nacional: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Mensual</w:t>
            </w:r>
          </w:p>
          <w:p w14:paraId="21C64D07" w14:textId="7EE2D537" w:rsidR="00567060" w:rsidRPr="00152C6C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567060"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4C52F4" w:rsidRPr="00D87366" w14:paraId="7C8EA3F4" w14:textId="77777777" w:rsidTr="00567060">
        <w:tc>
          <w:tcPr>
            <w:tcW w:w="1435" w:type="dxa"/>
            <w:shd w:val="clear" w:color="auto" w:fill="B3FFFF"/>
          </w:tcPr>
          <w:p w14:paraId="68EC1AF7" w14:textId="4DC2FB20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44D36320" w14:textId="087A44D6" w:rsidR="00567060" w:rsidRPr="00152C6C" w:rsidRDefault="00152C6C" w:rsidP="00DE69B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4C52F4" w:rsidRPr="00567060" w14:paraId="57DAB8DD" w14:textId="77777777" w:rsidTr="00567060">
        <w:tc>
          <w:tcPr>
            <w:tcW w:w="1435" w:type="dxa"/>
            <w:shd w:val="clear" w:color="auto" w:fill="B3FFFF"/>
          </w:tcPr>
          <w:p w14:paraId="62B76F21" w14:textId="45DDEABF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322F3395" w14:textId="3BB38314" w:rsidR="00567060" w:rsidRPr="00152C6C" w:rsidRDefault="0032172F" w:rsidP="0032172F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</w:t>
            </w:r>
            <w:r w:rsidR="00567060"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</w:t>
            </w:r>
            <w:r w:rsidR="00DE69B1"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022</w:t>
            </w:r>
          </w:p>
        </w:tc>
      </w:tr>
      <w:tr w:rsidR="004C52F4" w:rsidRPr="00D87366" w14:paraId="7C0C848B" w14:textId="77777777" w:rsidTr="00567060">
        <w:tc>
          <w:tcPr>
            <w:tcW w:w="1435" w:type="dxa"/>
            <w:shd w:val="clear" w:color="auto" w:fill="B3FFFF"/>
          </w:tcPr>
          <w:p w14:paraId="58B0BC91" w14:textId="36C2667E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0AC54BBE" w14:textId="77777777" w:rsidR="004C52F4" w:rsidRDefault="005113CF" w:rsidP="00F770A0">
            <w:pPr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 w:rsidR="0032172F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de análisis: sexo al nacer,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grupos de edad (menor de 19, 19 a 60, más de 60) por tipos de consultas.</w:t>
            </w:r>
            <w:r w:rsidR="00661DEB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</w:p>
          <w:p w14:paraId="0F3EECBB" w14:textId="382551F1" w:rsidR="00F770A0" w:rsidRPr="00916B37" w:rsidRDefault="00F770A0" w:rsidP="00F770A0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PE"/>
              </w:rPr>
            </w:pPr>
          </w:p>
        </w:tc>
      </w:tr>
      <w:tr w:rsidR="004C52F4" w:rsidRPr="00D87366" w14:paraId="782D5BA9" w14:textId="77777777" w:rsidTr="00567060">
        <w:tc>
          <w:tcPr>
            <w:tcW w:w="1435" w:type="dxa"/>
            <w:shd w:val="clear" w:color="auto" w:fill="B3FFFF"/>
          </w:tcPr>
          <w:p w14:paraId="591F87FC" w14:textId="4B549561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551A1A48" w14:textId="3ACAFF0F" w:rsidR="00235088" w:rsidRPr="00235088" w:rsidRDefault="00152C6C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="00235088"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 w:rsidR="00637700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</w:t>
            </w:r>
            <w:r w:rsidR="003B2629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y </w:t>
            </w:r>
            <w:proofErr w:type="spellStart"/>
            <w:r w:rsidR="00235088"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 w:rsidR="003B262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29B0A16B" w14:textId="74D08518" w:rsidR="00567060" w:rsidRPr="00567060" w:rsidRDefault="00567060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4C52F4" w:rsidRPr="00D87366" w14:paraId="3484D0D0" w14:textId="77777777" w:rsidTr="00567060">
        <w:tc>
          <w:tcPr>
            <w:tcW w:w="1435" w:type="dxa"/>
            <w:shd w:val="clear" w:color="auto" w:fill="B3FFFF"/>
          </w:tcPr>
          <w:p w14:paraId="5F602FAD" w14:textId="151CBB78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0811F8DC" w14:textId="4446A95B" w:rsidR="00567060" w:rsidRPr="00567060" w:rsidRDefault="00EA3B3C" w:rsidP="00EA3B3C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Existe la probabilidad que se duplique el número de personas atendidas, considerando que una puede recibir diferentes tipos de consultas y en dif</w:t>
            </w:r>
            <w:r w:rsidR="005D1833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erentes organizaciones de salud durante el año.</w:t>
            </w:r>
          </w:p>
        </w:tc>
      </w:tr>
      <w:tr w:rsidR="004C52F4" w:rsidRPr="00D87366" w14:paraId="4B3D7A38" w14:textId="77777777" w:rsidTr="00567060">
        <w:tc>
          <w:tcPr>
            <w:tcW w:w="1435" w:type="dxa"/>
            <w:shd w:val="clear" w:color="auto" w:fill="B3FFFF"/>
          </w:tcPr>
          <w:p w14:paraId="210CFFBA" w14:textId="4E28800C" w:rsidR="004C52F4" w:rsidRPr="00567060" w:rsidRDefault="004C52F4" w:rsidP="004C52F4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63FB27E7" w14:textId="77777777" w:rsidR="0032172F" w:rsidRPr="00235088" w:rsidRDefault="0032172F" w:rsidP="0032172F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0ABB3719" w14:textId="3D439014" w:rsidR="00567060" w:rsidRPr="00152C6C" w:rsidRDefault="00567060" w:rsidP="004C52F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3171A4AE" w14:textId="77777777" w:rsidR="001554C9" w:rsidRDefault="001554C9" w:rsidP="001554C9">
      <w:pPr>
        <w:jc w:val="both"/>
        <w:rPr>
          <w:rFonts w:cstheme="minorHAnsi"/>
          <w:color w:val="333333"/>
          <w:sz w:val="16"/>
          <w:szCs w:val="16"/>
          <w:shd w:val="clear" w:color="auto" w:fill="FFFFFF"/>
          <w:lang w:val="es-419"/>
        </w:rPr>
      </w:pPr>
    </w:p>
    <w:p w14:paraId="72693400" w14:textId="77777777" w:rsidR="0033592E" w:rsidRDefault="0033592E" w:rsidP="00276E5A">
      <w:pPr>
        <w:jc w:val="center"/>
        <w:rPr>
          <w:rFonts w:cstheme="minorHAnsi"/>
          <w:i/>
          <w:iCs/>
          <w:color w:val="333333"/>
          <w:sz w:val="16"/>
          <w:szCs w:val="16"/>
          <w:shd w:val="clear" w:color="auto" w:fill="FFFFFF"/>
          <w:lang w:val="es-419"/>
        </w:rPr>
        <w:sectPr w:rsidR="0033592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A3B3C" w:rsidRPr="00D87366" w14:paraId="6C7A6917" w14:textId="77777777" w:rsidTr="00276E5A">
        <w:tc>
          <w:tcPr>
            <w:tcW w:w="1435" w:type="dxa"/>
            <w:shd w:val="clear" w:color="auto" w:fill="B3FFFF"/>
          </w:tcPr>
          <w:p w14:paraId="391848FA" w14:textId="254C125D" w:rsidR="00EA3B3C" w:rsidRPr="00567060" w:rsidRDefault="003511D4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 w:rsidR="009403A2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="00EA3B3C"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73B471B0" w14:textId="3C085A4F" w:rsidR="00EA3B3C" w:rsidRPr="00567060" w:rsidRDefault="00EA3B3C" w:rsidP="0033592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2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: </w:t>
            </w:r>
            <w:r w:rsid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</w:t>
            </w:r>
            <w:r w:rsidR="0033592E" w:rsidRP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efugiados y migrantes de Venezuela </w:t>
            </w:r>
            <w:r w:rsid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inmunizados</w:t>
            </w:r>
            <w:r w:rsidR="00A31C16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contra la COVID-19</w:t>
            </w:r>
          </w:p>
        </w:tc>
      </w:tr>
      <w:tr w:rsidR="00EA3B3C" w:rsidRPr="00D87366" w14:paraId="14563142" w14:textId="77777777" w:rsidTr="00276E5A">
        <w:tc>
          <w:tcPr>
            <w:tcW w:w="1435" w:type="dxa"/>
            <w:shd w:val="clear" w:color="auto" w:fill="B3FFFF"/>
          </w:tcPr>
          <w:p w14:paraId="2F1E96CF" w14:textId="77777777" w:rsidR="00EA3B3C" w:rsidRPr="00567060" w:rsidRDefault="00EA3B3C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7AB1DC1D" w14:textId="22DF12E9" w:rsidR="0033592E" w:rsidRPr="00567060" w:rsidRDefault="00E8725E" w:rsidP="00E872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8725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Número de refugiados y migrantes de Venezuela asistidos con vacunación  contra la COVID-19</w:t>
            </w:r>
          </w:p>
        </w:tc>
      </w:tr>
      <w:tr w:rsidR="0085735D" w:rsidRPr="0085735D" w14:paraId="0E24C76A" w14:textId="77777777" w:rsidTr="00276E5A">
        <w:tc>
          <w:tcPr>
            <w:tcW w:w="1435" w:type="dxa"/>
            <w:shd w:val="clear" w:color="auto" w:fill="B3FFFF"/>
          </w:tcPr>
          <w:p w14:paraId="31044547" w14:textId="045F210A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0BE292C2" w14:textId="16BA6EA9" w:rsidR="0085735D" w:rsidRDefault="007B1DD0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en necesidad</w:t>
            </w:r>
          </w:p>
        </w:tc>
      </w:tr>
      <w:tr w:rsidR="0085735D" w:rsidRPr="00D87366" w14:paraId="3A1C3077" w14:textId="77777777" w:rsidTr="00276E5A">
        <w:tc>
          <w:tcPr>
            <w:tcW w:w="1435" w:type="dxa"/>
            <w:shd w:val="clear" w:color="auto" w:fill="B3FFFF"/>
          </w:tcPr>
          <w:p w14:paraId="49AC7A08" w14:textId="04EC659D" w:rsidR="0085735D" w:rsidRPr="00567060" w:rsidRDefault="00A153FF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78D26290" w14:textId="501488D6" w:rsidR="0085735D" w:rsidRPr="00567060" w:rsidRDefault="007B5064" w:rsidP="007B5064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refugiados y migrantes reciben atención, insumos e información de salud</w:t>
            </w:r>
          </w:p>
        </w:tc>
      </w:tr>
      <w:tr w:rsidR="0085735D" w:rsidRPr="00D87366" w14:paraId="47E3D357" w14:textId="77777777" w:rsidTr="00276E5A">
        <w:tc>
          <w:tcPr>
            <w:tcW w:w="1435" w:type="dxa"/>
            <w:shd w:val="clear" w:color="auto" w:fill="B3FFFF"/>
          </w:tcPr>
          <w:p w14:paraId="667C0C56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3FF2278B" w14:textId="4C0DF5F7" w:rsidR="0085735D" w:rsidRPr="00567060" w:rsidRDefault="0085735D" w:rsidP="00916B37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Este indicador mide el acceso de las personas refugiadas y migrantes procedentes de Venezuela </w:t>
            </w:r>
            <w:r w:rsidR="005D1833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que tienen protección contra la </w:t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COVID-19.</w:t>
            </w:r>
          </w:p>
        </w:tc>
      </w:tr>
      <w:tr w:rsidR="0085735D" w:rsidRPr="00D87366" w14:paraId="61749A0F" w14:textId="77777777" w:rsidTr="00276E5A">
        <w:tc>
          <w:tcPr>
            <w:tcW w:w="1435" w:type="dxa"/>
            <w:shd w:val="clear" w:color="auto" w:fill="B3FFFF"/>
          </w:tcPr>
          <w:p w14:paraId="0A2F9444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5E579825" w14:textId="66D579DE" w:rsidR="0085735D" w:rsidRPr="00567060" w:rsidRDefault="0085735D" w:rsidP="005D1833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sobre </w:t>
            </w:r>
            <w:r w:rsidR="00FE703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la</w:t>
            </w:r>
            <w:r w:rsidR="005D1833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cobertura de vacunación contra la COVID-19</w:t>
            </w:r>
            <w:r w:rsidR="00FE703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con apoyo de los socios que forman parte del sector salud de las plataformas nacionales</w:t>
            </w:r>
          </w:p>
        </w:tc>
      </w:tr>
      <w:tr w:rsidR="0085735D" w:rsidRPr="00D87366" w14:paraId="0BCC819E" w14:textId="77777777" w:rsidTr="00276E5A">
        <w:tc>
          <w:tcPr>
            <w:tcW w:w="1435" w:type="dxa"/>
            <w:shd w:val="clear" w:color="auto" w:fill="B3FFFF"/>
          </w:tcPr>
          <w:p w14:paraId="51470A63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2D66691C" w14:textId="5B1780C3" w:rsidR="0085735D" w:rsidRDefault="0085735D" w:rsidP="00916B3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se realiza la sumatoria del número de personas refugiadas y migrantes que han recibido </w:t>
            </w:r>
            <w:r w:rsidR="00916B3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al menos una dosis </w:t>
            </w:r>
            <w:r w:rsidR="00D23BEF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la </w:t>
            </w:r>
            <w:r w:rsidR="00FB622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vacuna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contra la COVID-19</w:t>
            </w:r>
            <w:r w:rsidR="00FE703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con el apoyo de los socios</w:t>
            </w:r>
            <w:r w:rsidR="00665E75"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lo cual puede incluir la entrega de vacunas e insumos, contrato de personal o apoyo logístico.</w:t>
            </w:r>
          </w:p>
          <w:p w14:paraId="4CDB1549" w14:textId="6BFD3298" w:rsidR="0085735D" w:rsidRPr="00567060" w:rsidRDefault="0085735D" w:rsidP="005D1833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 xml:space="preserve">Se suman los países que reportan que los refugiados y migrantes han recibido </w:t>
            </w:r>
            <w:r w:rsidR="00FB6228">
              <w:rPr>
                <w:rFonts w:cstheme="minorHAnsi"/>
                <w:iCs/>
                <w:sz w:val="16"/>
                <w:szCs w:val="16"/>
                <w:lang w:val="es-419"/>
              </w:rPr>
              <w:t xml:space="preserve">la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>vacuna</w:t>
            </w:r>
            <w:r w:rsidR="00FE7039">
              <w:rPr>
                <w:rFonts w:cstheme="minorHAnsi"/>
                <w:iCs/>
                <w:sz w:val="16"/>
                <w:szCs w:val="16"/>
                <w:lang w:val="es-419"/>
              </w:rPr>
              <w:t xml:space="preserve"> </w:t>
            </w:r>
            <w:r w:rsidR="005D1833">
              <w:rPr>
                <w:rFonts w:cstheme="minorHAnsi"/>
                <w:iCs/>
                <w:sz w:val="16"/>
                <w:szCs w:val="16"/>
                <w:lang w:val="es-419"/>
              </w:rPr>
              <w:t xml:space="preserve">contra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>la COVID-9.</w:t>
            </w:r>
          </w:p>
        </w:tc>
      </w:tr>
      <w:tr w:rsidR="0085735D" w:rsidRPr="00FE7039" w14:paraId="6568409E" w14:textId="77777777" w:rsidTr="00276E5A">
        <w:tc>
          <w:tcPr>
            <w:tcW w:w="1435" w:type="dxa"/>
            <w:shd w:val="clear" w:color="auto" w:fill="B3FFFF"/>
          </w:tcPr>
          <w:p w14:paraId="3F9533AF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61D8CBA2" w14:textId="77777777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59EC9DA2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FE7039" w14:paraId="4BE3322E" w14:textId="77777777" w:rsidTr="00276E5A">
        <w:tc>
          <w:tcPr>
            <w:tcW w:w="1435" w:type="dxa"/>
            <w:shd w:val="clear" w:color="auto" w:fill="B3FFFF"/>
          </w:tcPr>
          <w:p w14:paraId="6B83D566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3B9E8864" w14:textId="1D8AA184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inmunizadas</w:t>
            </w:r>
          </w:p>
        </w:tc>
      </w:tr>
      <w:tr w:rsidR="0085735D" w:rsidRPr="00D87366" w14:paraId="0BEDEA00" w14:textId="77777777" w:rsidTr="00276E5A">
        <w:tc>
          <w:tcPr>
            <w:tcW w:w="1435" w:type="dxa"/>
            <w:shd w:val="clear" w:color="auto" w:fill="B3FFFF"/>
          </w:tcPr>
          <w:p w14:paraId="6608DDFC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6ECFD713" w14:textId="77777777" w:rsidR="004E4367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nacional: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Mensual</w:t>
            </w:r>
          </w:p>
          <w:p w14:paraId="7D38ED20" w14:textId="367AF0E2" w:rsidR="0085735D" w:rsidRPr="00152C6C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85735D" w:rsidRPr="00D87366" w14:paraId="5AE5F1BB" w14:textId="77777777" w:rsidTr="00276E5A">
        <w:tc>
          <w:tcPr>
            <w:tcW w:w="1435" w:type="dxa"/>
            <w:shd w:val="clear" w:color="auto" w:fill="B3FFFF"/>
          </w:tcPr>
          <w:p w14:paraId="4136C1C4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6CB445C8" w14:textId="77777777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49105E" w:rsidRPr="00567060" w14:paraId="0CFCD580" w14:textId="77777777" w:rsidTr="00276E5A">
        <w:tc>
          <w:tcPr>
            <w:tcW w:w="1435" w:type="dxa"/>
            <w:shd w:val="clear" w:color="auto" w:fill="B3FFFF"/>
          </w:tcPr>
          <w:p w14:paraId="42777850" w14:textId="77777777" w:rsidR="0049105E" w:rsidRPr="00567060" w:rsidRDefault="0049105E" w:rsidP="0049105E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7C4F65AF" w14:textId="5B2E6FFD" w:rsidR="0049105E" w:rsidRPr="00152C6C" w:rsidRDefault="0049105E" w:rsidP="004910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49105E" w:rsidRPr="00D87366" w14:paraId="0A836FA6" w14:textId="77777777" w:rsidTr="00276E5A">
        <w:tc>
          <w:tcPr>
            <w:tcW w:w="1435" w:type="dxa"/>
            <w:shd w:val="clear" w:color="auto" w:fill="B3FFFF"/>
          </w:tcPr>
          <w:p w14:paraId="5A974AC4" w14:textId="77777777" w:rsidR="0049105E" w:rsidRPr="00567060" w:rsidRDefault="0049105E" w:rsidP="0049105E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4A2BB9CB" w14:textId="04A66836" w:rsidR="0049105E" w:rsidRPr="00567060" w:rsidRDefault="0049105E" w:rsidP="003805F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de análisis: sexo al nacer</w:t>
            </w:r>
            <w:r w:rsidR="003805FE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 y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grupos de edad</w:t>
            </w:r>
          </w:p>
        </w:tc>
      </w:tr>
      <w:tr w:rsidR="0049105E" w:rsidRPr="00D87366" w14:paraId="0205C929" w14:textId="77777777" w:rsidTr="00276E5A">
        <w:tc>
          <w:tcPr>
            <w:tcW w:w="1435" w:type="dxa"/>
            <w:shd w:val="clear" w:color="auto" w:fill="B3FFFF"/>
          </w:tcPr>
          <w:p w14:paraId="6F5EF10B" w14:textId="77777777" w:rsidR="0049105E" w:rsidRPr="00567060" w:rsidRDefault="0049105E" w:rsidP="0049105E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2852269D" w14:textId="0701B687" w:rsidR="0049105E" w:rsidRPr="00235088" w:rsidRDefault="00EA7849" w:rsidP="004910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72A01300" w14:textId="77777777" w:rsidR="0049105E" w:rsidRPr="00567060" w:rsidRDefault="0049105E" w:rsidP="004910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49105E" w:rsidRPr="00D87366" w14:paraId="2ECAA918" w14:textId="77777777" w:rsidTr="00276E5A">
        <w:tc>
          <w:tcPr>
            <w:tcW w:w="1435" w:type="dxa"/>
            <w:shd w:val="clear" w:color="auto" w:fill="B3FFFF"/>
          </w:tcPr>
          <w:p w14:paraId="3302DB93" w14:textId="77777777" w:rsidR="0049105E" w:rsidRPr="00567060" w:rsidRDefault="0049105E" w:rsidP="0049105E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0FAE5A4B" w14:textId="511F9AEA" w:rsidR="0049105E" w:rsidRPr="00567060" w:rsidRDefault="0049105E" w:rsidP="0049105E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Existe la probabilidad que se duplique el número de personas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registradas, debido a que una puede recibir diferentes tipos de vacunas durante su permanencia en el país receptor</w:t>
            </w:r>
            <w:r w:rsidR="00916B37"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o durante su tránsito entre países.</w:t>
            </w:r>
          </w:p>
        </w:tc>
      </w:tr>
      <w:tr w:rsidR="0049105E" w:rsidRPr="00D87366" w14:paraId="72149272" w14:textId="77777777" w:rsidTr="00276E5A">
        <w:tc>
          <w:tcPr>
            <w:tcW w:w="1435" w:type="dxa"/>
            <w:shd w:val="clear" w:color="auto" w:fill="B3FFFF"/>
          </w:tcPr>
          <w:p w14:paraId="2FC5B9E3" w14:textId="77777777" w:rsidR="0049105E" w:rsidRPr="00567060" w:rsidRDefault="0049105E" w:rsidP="0049105E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67C4021A" w14:textId="77777777" w:rsidR="00EA7849" w:rsidRPr="00235088" w:rsidRDefault="00EA7849" w:rsidP="00EA784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4F790DD5" w14:textId="6E21CF59" w:rsidR="0049105E" w:rsidRPr="00152C6C" w:rsidRDefault="0049105E" w:rsidP="0049105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08E2954E" w14:textId="720231FD" w:rsidR="009403A2" w:rsidRPr="00EA3B3C" w:rsidRDefault="009403A2">
      <w:pPr>
        <w:rPr>
          <w:rFonts w:cstheme="minorHAnsi"/>
          <w:i/>
          <w:iCs/>
          <w:color w:val="333333"/>
          <w:sz w:val="16"/>
          <w:szCs w:val="16"/>
          <w:shd w:val="clear" w:color="auto" w:fill="FFFFFF"/>
          <w:lang w:val="es-PE"/>
        </w:rPr>
      </w:pPr>
    </w:p>
    <w:p w14:paraId="6C46B3F1" w14:textId="77777777" w:rsidR="003511D4" w:rsidRDefault="003511D4">
      <w:pPr>
        <w:rPr>
          <w:rFonts w:cstheme="minorHAnsi"/>
          <w:i/>
          <w:iCs/>
          <w:color w:val="333333"/>
          <w:sz w:val="16"/>
          <w:szCs w:val="16"/>
          <w:shd w:val="clear" w:color="auto" w:fill="FFFFFF"/>
          <w:lang w:val="es-419"/>
        </w:rPr>
      </w:pPr>
    </w:p>
    <w:p w14:paraId="1267ED04" w14:textId="65DBD695" w:rsidR="005D1833" w:rsidRDefault="005D1833">
      <w:pPr>
        <w:rPr>
          <w:iCs/>
          <w:lang w:val="es-419"/>
        </w:rPr>
      </w:pPr>
      <w:r>
        <w:rPr>
          <w:iCs/>
          <w:lang w:val="es-419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D1833" w:rsidRPr="00D87366" w14:paraId="2CE957C5" w14:textId="77777777" w:rsidTr="00502282">
        <w:tc>
          <w:tcPr>
            <w:tcW w:w="1435" w:type="dxa"/>
            <w:shd w:val="clear" w:color="auto" w:fill="B3FFFF"/>
          </w:tcPr>
          <w:p w14:paraId="78307F3E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778E65EE" w14:textId="369EDE4F" w:rsidR="005D1833" w:rsidRPr="00567060" w:rsidRDefault="005D1833" w:rsidP="008A647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8A6477">
              <w:rPr>
                <w:rFonts w:cstheme="minorHAnsi"/>
                <w:i/>
                <w:iCs/>
                <w:sz w:val="16"/>
                <w:szCs w:val="16"/>
                <w:lang w:val="es-419"/>
              </w:rPr>
              <w:t>3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: R</w:t>
            </w:r>
            <w:r w:rsidRP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efugiados y migrantes de Venezuela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inmunizados</w:t>
            </w:r>
          </w:p>
        </w:tc>
      </w:tr>
      <w:tr w:rsidR="005D1833" w:rsidRPr="00D87366" w14:paraId="139A1B81" w14:textId="77777777" w:rsidTr="00502282">
        <w:tc>
          <w:tcPr>
            <w:tcW w:w="1435" w:type="dxa"/>
            <w:shd w:val="clear" w:color="auto" w:fill="B3FFFF"/>
          </w:tcPr>
          <w:p w14:paraId="0ED8E13C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4E3CF544" w14:textId="337EA41E" w:rsidR="005D1833" w:rsidRPr="00567060" w:rsidRDefault="005D1833" w:rsidP="003805FE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</w:t>
            </w:r>
            <w:r w:rsidRP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</w:t>
            </w:r>
            <w:r w:rsidR="008A647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dosis de vacunas administradas a los </w:t>
            </w:r>
            <w:r w:rsidRPr="003359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refu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giados y migrantes de Venezuela</w:t>
            </w:r>
            <w:r w:rsidR="008A647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según ciclo de </w:t>
            </w:r>
            <w:r w:rsidR="003805F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vida </w:t>
            </w:r>
            <w:r w:rsidR="008A6477">
              <w:rPr>
                <w:rFonts w:cstheme="minorHAnsi"/>
                <w:i/>
                <w:iCs/>
                <w:sz w:val="16"/>
                <w:szCs w:val="16"/>
                <w:lang w:val="es-419"/>
              </w:rPr>
              <w:t>y calendario nacional</w:t>
            </w:r>
          </w:p>
        </w:tc>
      </w:tr>
      <w:tr w:rsidR="005D1833" w:rsidRPr="0085735D" w14:paraId="5743C881" w14:textId="77777777" w:rsidTr="00502282">
        <w:tc>
          <w:tcPr>
            <w:tcW w:w="1435" w:type="dxa"/>
            <w:shd w:val="clear" w:color="auto" w:fill="B3FFFF"/>
          </w:tcPr>
          <w:p w14:paraId="1A1DE9A0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089856BA" w14:textId="77777777" w:rsidR="005D1833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en necesidad</w:t>
            </w:r>
          </w:p>
        </w:tc>
      </w:tr>
      <w:tr w:rsidR="005D1833" w:rsidRPr="00D87366" w14:paraId="6AB9F9B8" w14:textId="77777777" w:rsidTr="00502282">
        <w:tc>
          <w:tcPr>
            <w:tcW w:w="1435" w:type="dxa"/>
            <w:shd w:val="clear" w:color="auto" w:fill="B3FFFF"/>
          </w:tcPr>
          <w:p w14:paraId="5E6FD9C6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040263C4" w14:textId="77777777" w:rsidR="005D1833" w:rsidRPr="00567060" w:rsidRDefault="005D1833" w:rsidP="00502282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refugiados y migrantes reciben atención, insumos e información de salud</w:t>
            </w:r>
          </w:p>
        </w:tc>
      </w:tr>
      <w:tr w:rsidR="005D1833" w:rsidRPr="00D87366" w14:paraId="274AA0D0" w14:textId="77777777" w:rsidTr="00502282">
        <w:tc>
          <w:tcPr>
            <w:tcW w:w="1435" w:type="dxa"/>
            <w:shd w:val="clear" w:color="auto" w:fill="B3FFFF"/>
          </w:tcPr>
          <w:p w14:paraId="7BADE56D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594781C7" w14:textId="4AD2D4A7" w:rsidR="005D1833" w:rsidRPr="00567060" w:rsidRDefault="005D1833" w:rsidP="008A6477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Este indicador mide el acceso de las personas refugiadas y migrantes procedentes de Venezuela a las vacunas obligatorias según el grupo de edad y el calendario del país.</w:t>
            </w:r>
          </w:p>
        </w:tc>
      </w:tr>
      <w:tr w:rsidR="005D1833" w:rsidRPr="00D87366" w14:paraId="06FD796B" w14:textId="77777777" w:rsidTr="00502282">
        <w:tc>
          <w:tcPr>
            <w:tcW w:w="1435" w:type="dxa"/>
            <w:shd w:val="clear" w:color="auto" w:fill="B3FFFF"/>
          </w:tcPr>
          <w:p w14:paraId="75080627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4FE10805" w14:textId="77777777" w:rsidR="005D1833" w:rsidRPr="00567060" w:rsidRDefault="005D1833" w:rsidP="00502282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sobre las vacunas que reciben las </w:t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personas</w:t>
            </w:r>
            <w:r w:rsidRPr="007604E9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refugiadas y migrantes de acuerdo al calendario nacional, con apoyo de los socios que forman parte del sector salud de las plataformas nacionales</w:t>
            </w:r>
          </w:p>
        </w:tc>
      </w:tr>
      <w:tr w:rsidR="005D1833" w:rsidRPr="00D87366" w14:paraId="44593644" w14:textId="77777777" w:rsidTr="00502282">
        <w:tc>
          <w:tcPr>
            <w:tcW w:w="1435" w:type="dxa"/>
            <w:shd w:val="clear" w:color="auto" w:fill="B3FFFF"/>
          </w:tcPr>
          <w:p w14:paraId="4527A9EE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1DAEE1CF" w14:textId="1F611303" w:rsidR="005D1833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se realiza la sumatoria del número de personas refugiadas y migrantes que han recibido las vacunas según el calendario del país con el apoyo de los socios, lo cual puede incluir la entrega de vacunas e insumos, contrato de personal o apoyo logístico.</w:t>
            </w:r>
          </w:p>
          <w:p w14:paraId="59198D93" w14:textId="6A232E88" w:rsidR="005D1833" w:rsidRPr="00567060" w:rsidRDefault="005D1833" w:rsidP="00A31C16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>Se suman los países que reportan que los refugiados y migrantes han recibido todas las vacunas según el calendario del país.</w:t>
            </w:r>
          </w:p>
        </w:tc>
      </w:tr>
      <w:tr w:rsidR="005D1833" w:rsidRPr="00FE7039" w14:paraId="2C5C5152" w14:textId="77777777" w:rsidTr="00502282">
        <w:tc>
          <w:tcPr>
            <w:tcW w:w="1435" w:type="dxa"/>
            <w:shd w:val="clear" w:color="auto" w:fill="B3FFFF"/>
          </w:tcPr>
          <w:p w14:paraId="2D839DD4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2D4AA0AA" w14:textId="77777777" w:rsidR="005D1833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23025AA6" w14:textId="77777777" w:rsidR="005D1833" w:rsidRPr="00567060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5D1833" w:rsidRPr="00FE7039" w14:paraId="2A3F17CF" w14:textId="77777777" w:rsidTr="00502282">
        <w:tc>
          <w:tcPr>
            <w:tcW w:w="1435" w:type="dxa"/>
            <w:shd w:val="clear" w:color="auto" w:fill="B3FFFF"/>
          </w:tcPr>
          <w:p w14:paraId="6CA88769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185FB212" w14:textId="77777777" w:rsidR="005D1833" w:rsidRPr="00152C6C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inmunizadas</w:t>
            </w:r>
          </w:p>
        </w:tc>
      </w:tr>
      <w:tr w:rsidR="005D1833" w:rsidRPr="00D87366" w14:paraId="11197C58" w14:textId="77777777" w:rsidTr="00502282">
        <w:tc>
          <w:tcPr>
            <w:tcW w:w="1435" w:type="dxa"/>
            <w:shd w:val="clear" w:color="auto" w:fill="B3FFFF"/>
          </w:tcPr>
          <w:p w14:paraId="51812DAD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63C218A4" w14:textId="77777777" w:rsidR="005D1833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nacional: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Mensual</w:t>
            </w:r>
          </w:p>
          <w:p w14:paraId="283840C5" w14:textId="77777777" w:rsidR="005D1833" w:rsidRPr="00152C6C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5D1833" w:rsidRPr="00D87366" w14:paraId="6B6BF9BC" w14:textId="77777777" w:rsidTr="00502282">
        <w:tc>
          <w:tcPr>
            <w:tcW w:w="1435" w:type="dxa"/>
            <w:shd w:val="clear" w:color="auto" w:fill="B3FFFF"/>
          </w:tcPr>
          <w:p w14:paraId="19C3E6FB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0B80E8B4" w14:textId="77777777" w:rsidR="005D1833" w:rsidRPr="00152C6C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5D1833" w:rsidRPr="00567060" w14:paraId="57F3B0FC" w14:textId="77777777" w:rsidTr="00502282">
        <w:tc>
          <w:tcPr>
            <w:tcW w:w="1435" w:type="dxa"/>
            <w:shd w:val="clear" w:color="auto" w:fill="B3FFFF"/>
          </w:tcPr>
          <w:p w14:paraId="285891EA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68E29825" w14:textId="77777777" w:rsidR="005D1833" w:rsidRPr="00152C6C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5D1833" w:rsidRPr="00D87366" w14:paraId="468DF355" w14:textId="77777777" w:rsidTr="00502282">
        <w:tc>
          <w:tcPr>
            <w:tcW w:w="1435" w:type="dxa"/>
            <w:shd w:val="clear" w:color="auto" w:fill="B3FFFF"/>
          </w:tcPr>
          <w:p w14:paraId="3AD9A2D1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4A47FBA6" w14:textId="77777777" w:rsidR="005D1833" w:rsidRPr="00567060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de análisis: sexo al nacer,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grupos de edad y tipos de vacunas</w:t>
            </w:r>
          </w:p>
        </w:tc>
      </w:tr>
      <w:tr w:rsidR="005D1833" w:rsidRPr="00D87366" w14:paraId="078FF318" w14:textId="77777777" w:rsidTr="00502282">
        <w:tc>
          <w:tcPr>
            <w:tcW w:w="1435" w:type="dxa"/>
            <w:shd w:val="clear" w:color="auto" w:fill="B3FFFF"/>
          </w:tcPr>
          <w:p w14:paraId="4EBCF086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41642D0E" w14:textId="77777777" w:rsidR="005D1833" w:rsidRPr="00235088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3B214CE6" w14:textId="77777777" w:rsidR="005D1833" w:rsidRPr="00567060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5D1833" w:rsidRPr="00D87366" w14:paraId="4E5A95FC" w14:textId="77777777" w:rsidTr="00502282">
        <w:tc>
          <w:tcPr>
            <w:tcW w:w="1435" w:type="dxa"/>
            <w:shd w:val="clear" w:color="auto" w:fill="B3FFFF"/>
          </w:tcPr>
          <w:p w14:paraId="386D8389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5C5BF1DD" w14:textId="77777777" w:rsidR="005D1833" w:rsidRPr="00567060" w:rsidRDefault="005D1833" w:rsidP="00502282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Existe la probabilidad que se duplique el número de personas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registradas, debido a que una puede recibir diferentes tipos de vacunas durante su permanencia en el país receptor</w:t>
            </w: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</w:tc>
      </w:tr>
      <w:tr w:rsidR="005D1833" w:rsidRPr="00D87366" w14:paraId="0B2827DA" w14:textId="77777777" w:rsidTr="00502282">
        <w:tc>
          <w:tcPr>
            <w:tcW w:w="1435" w:type="dxa"/>
            <w:shd w:val="clear" w:color="auto" w:fill="B3FFFF"/>
          </w:tcPr>
          <w:p w14:paraId="0438B134" w14:textId="77777777" w:rsidR="005D1833" w:rsidRPr="00567060" w:rsidRDefault="005D1833" w:rsidP="00502282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0DF2C467" w14:textId="77777777" w:rsidR="005D1833" w:rsidRPr="00235088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356552D9" w14:textId="77777777" w:rsidR="005D1833" w:rsidRPr="00152C6C" w:rsidRDefault="005D1833" w:rsidP="00502282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3DC3F9C1" w14:textId="77777777" w:rsidR="003511D4" w:rsidRPr="005D1833" w:rsidRDefault="003511D4">
      <w:pPr>
        <w:rPr>
          <w:iCs/>
          <w:lang w:val="es-PE"/>
        </w:rPr>
      </w:pPr>
    </w:p>
    <w:p w14:paraId="170B843A" w14:textId="68EF996A" w:rsidR="00C40BB3" w:rsidRDefault="00C40BB3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C40BB3" w:rsidRPr="00D87366" w14:paraId="7ADA0AF6" w14:textId="77777777" w:rsidTr="00276E5A">
        <w:tc>
          <w:tcPr>
            <w:tcW w:w="1435" w:type="dxa"/>
            <w:shd w:val="clear" w:color="auto" w:fill="B3FFFF"/>
          </w:tcPr>
          <w:p w14:paraId="28724A67" w14:textId="77777777" w:rsidR="00C40BB3" w:rsidRPr="00567060" w:rsidRDefault="00C40BB3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439D0BCA" w14:textId="28474F3D" w:rsidR="00C40BB3" w:rsidRPr="00567060" w:rsidRDefault="00C40BB3" w:rsidP="00A31C16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A31C16">
              <w:rPr>
                <w:rFonts w:cstheme="minorHAnsi"/>
                <w:i/>
                <w:iCs/>
                <w:sz w:val="16"/>
                <w:szCs w:val="16"/>
                <w:lang w:val="es-419"/>
              </w:rPr>
              <w:t>4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: </w:t>
            </w:r>
            <w:r w:rsid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Refugiados y migrantes</w:t>
            </w:r>
            <w:r w:rsidR="00DD5AC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que han recibido </w:t>
            </w:r>
            <w:r w:rsidR="00A31C16">
              <w:rPr>
                <w:rFonts w:cstheme="minorHAnsi"/>
                <w:i/>
                <w:iCs/>
                <w:sz w:val="16"/>
                <w:szCs w:val="16"/>
                <w:lang w:val="es-419"/>
              </w:rPr>
              <w:t>insumos</w:t>
            </w:r>
          </w:p>
        </w:tc>
      </w:tr>
      <w:tr w:rsidR="00C40BB3" w:rsidRPr="00D87366" w14:paraId="696DB679" w14:textId="77777777" w:rsidTr="00276E5A">
        <w:tc>
          <w:tcPr>
            <w:tcW w:w="1435" w:type="dxa"/>
            <w:shd w:val="clear" w:color="auto" w:fill="B3FFFF"/>
          </w:tcPr>
          <w:p w14:paraId="19E3839E" w14:textId="77777777" w:rsidR="00C40BB3" w:rsidRPr="00567060" w:rsidRDefault="00C40BB3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483D0ECD" w14:textId="52B7A95B" w:rsidR="00C40BB3" w:rsidRPr="00567060" w:rsidRDefault="0030532E" w:rsidP="00A31C16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</w:t>
            </w:r>
            <w:r w:rsidRPr="003053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de refugiados y migrantes de Venezuela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q</w:t>
            </w:r>
            <w:r w:rsidRPr="0030532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ue recibieron </w:t>
            </w:r>
            <w:r w:rsidR="00BD41A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i</w:t>
            </w:r>
            <w:r w:rsidR="005113C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nsumos</w:t>
            </w:r>
          </w:p>
        </w:tc>
      </w:tr>
      <w:tr w:rsidR="0085735D" w:rsidRPr="0085735D" w14:paraId="54D2A65C" w14:textId="77777777" w:rsidTr="00276E5A">
        <w:tc>
          <w:tcPr>
            <w:tcW w:w="1435" w:type="dxa"/>
            <w:shd w:val="clear" w:color="auto" w:fill="B3FFFF"/>
          </w:tcPr>
          <w:p w14:paraId="23E86C8C" w14:textId="0035DE92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2698F3EE" w14:textId="38C2B4BD" w:rsidR="0085735D" w:rsidRDefault="007B1DD0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en necesidad</w:t>
            </w:r>
          </w:p>
        </w:tc>
      </w:tr>
      <w:tr w:rsidR="0085735D" w:rsidRPr="00D87366" w14:paraId="7A173B7B" w14:textId="77777777" w:rsidTr="00276E5A">
        <w:tc>
          <w:tcPr>
            <w:tcW w:w="1435" w:type="dxa"/>
            <w:shd w:val="clear" w:color="auto" w:fill="B3FFFF"/>
          </w:tcPr>
          <w:p w14:paraId="30FE1E4B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1FDCF106" w14:textId="01EEE117" w:rsidR="0085735D" w:rsidRPr="00567060" w:rsidRDefault="007B5064" w:rsidP="0085735D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refugiados y migrantes reciben atención, insumos e información de salud</w:t>
            </w:r>
          </w:p>
        </w:tc>
      </w:tr>
      <w:tr w:rsidR="0085735D" w:rsidRPr="00D87366" w14:paraId="202B5541" w14:textId="77777777" w:rsidTr="00276E5A">
        <w:tc>
          <w:tcPr>
            <w:tcW w:w="1435" w:type="dxa"/>
            <w:shd w:val="clear" w:color="auto" w:fill="B3FFFF"/>
          </w:tcPr>
          <w:p w14:paraId="6851E8C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295AEC63" w14:textId="6D9B11B1" w:rsidR="005113CF" w:rsidRPr="00567060" w:rsidRDefault="005113CF" w:rsidP="00A31C16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Este indi</w:t>
            </w:r>
            <w:r w:rsidR="00BD41A2"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cador mide el apoyo </w:t>
            </w:r>
            <w:r w:rsidR="00CE311B"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directo </w:t>
            </w:r>
            <w:r w:rsidR="00BD41A2"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de los </w:t>
            </w:r>
            <w:r w:rsidR="00CE311B"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socios del sector salud de las plataformas nacionales, a </w:t>
            </w:r>
            <w:r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las personas refugiada</w:t>
            </w:r>
            <w:r w:rsidR="00CE311B" w:rsidRP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s y migrantes, mediante la entrega de insumos </w:t>
            </w:r>
            <w:r w:rsidR="00CE311B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(como </w:t>
            </w:r>
            <w:r w:rsidR="00CE311B" w:rsidRPr="00CE311B">
              <w:rPr>
                <w:rFonts w:cstheme="minorHAnsi"/>
                <w:sz w:val="16"/>
                <w:szCs w:val="16"/>
                <w:lang w:val="es-419"/>
              </w:rPr>
              <w:t>kits de dignidad, kit de parto limpio, kits de higiene</w:t>
            </w:r>
            <w:r w:rsidR="00A31C16">
              <w:rPr>
                <w:rFonts w:cstheme="minorHAnsi"/>
                <w:sz w:val="16"/>
                <w:szCs w:val="16"/>
                <w:lang w:val="es-419"/>
              </w:rPr>
              <w:t xml:space="preserve">, </w:t>
            </w:r>
            <w:proofErr w:type="spellStart"/>
            <w:r w:rsidR="00A31C16">
              <w:rPr>
                <w:rFonts w:cstheme="minorHAnsi"/>
                <w:sz w:val="16"/>
                <w:szCs w:val="16"/>
                <w:lang w:val="es-419"/>
              </w:rPr>
              <w:t>EPPs</w:t>
            </w:r>
            <w:proofErr w:type="spellEnd"/>
            <w:r w:rsidR="00A31C16">
              <w:rPr>
                <w:rFonts w:cstheme="minorHAnsi"/>
                <w:sz w:val="16"/>
                <w:szCs w:val="16"/>
                <w:lang w:val="es-419"/>
              </w:rPr>
              <w:t xml:space="preserve"> </w:t>
            </w:r>
            <w:r w:rsidR="00CE311B">
              <w:rPr>
                <w:rFonts w:cstheme="minorHAnsi"/>
                <w:sz w:val="16"/>
                <w:szCs w:val="16"/>
                <w:lang w:val="es-419"/>
              </w:rPr>
              <w:t>y otros)</w:t>
            </w:r>
          </w:p>
        </w:tc>
      </w:tr>
      <w:tr w:rsidR="0085735D" w:rsidRPr="00D87366" w14:paraId="054EF998" w14:textId="77777777" w:rsidTr="00276E5A">
        <w:tc>
          <w:tcPr>
            <w:tcW w:w="1435" w:type="dxa"/>
            <w:shd w:val="clear" w:color="auto" w:fill="B3FFFF"/>
          </w:tcPr>
          <w:p w14:paraId="3972567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726AC686" w14:textId="2F6BE949" w:rsidR="0085735D" w:rsidRPr="00567060" w:rsidRDefault="0085735D" w:rsidP="00A31C16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</w:t>
            </w:r>
            <w:r w:rsidR="004B78D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el 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refugiadas y migrantes que han recibido</w:t>
            </w:r>
            <w:r w:rsidR="002D6BD9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1E490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insumos</w:t>
            </w:r>
            <w:r w:rsidR="00A31C16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2D6BD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como parte de las acciones de los socios del sector salud de las plataformas nacionales.</w:t>
            </w:r>
          </w:p>
        </w:tc>
      </w:tr>
      <w:tr w:rsidR="0085735D" w:rsidRPr="00D87366" w14:paraId="0AA295BB" w14:textId="77777777" w:rsidTr="00276E5A">
        <w:tc>
          <w:tcPr>
            <w:tcW w:w="1435" w:type="dxa"/>
            <w:shd w:val="clear" w:color="auto" w:fill="B3FFFF"/>
          </w:tcPr>
          <w:p w14:paraId="41C9F9E3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6EA022C8" w14:textId="0D4BC908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se realiza la sumatoria del número de personas refugiadas y migrantes que han recibido </w:t>
            </w:r>
            <w:r w:rsidR="00323CF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i</w:t>
            </w:r>
            <w:r w:rsidR="005113C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nsumo</w:t>
            </w:r>
            <w:r w:rsidR="001E490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s</w:t>
            </w:r>
            <w:r w:rsidR="009A755A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por parte de </w:t>
            </w:r>
            <w:r w:rsidR="00323CF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los socios</w:t>
            </w:r>
            <w:r w:rsidR="005516C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788E6AC2" w14:textId="623BF291" w:rsidR="0085735D" w:rsidRPr="00567060" w:rsidRDefault="0085735D" w:rsidP="009A755A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 xml:space="preserve">Se suman los países que reportan que los refugiados y migrantes han recibido </w:t>
            </w:r>
            <w:r w:rsidR="005113CF">
              <w:rPr>
                <w:rFonts w:cstheme="minorHAnsi"/>
                <w:iCs/>
                <w:sz w:val="16"/>
                <w:szCs w:val="16"/>
                <w:lang w:val="es-419"/>
              </w:rPr>
              <w:t>insumos</w:t>
            </w:r>
            <w:r w:rsidR="001E490D">
              <w:rPr>
                <w:rFonts w:cstheme="minorHAnsi"/>
                <w:iCs/>
                <w:sz w:val="16"/>
                <w:szCs w:val="16"/>
                <w:lang w:val="es-419"/>
              </w:rPr>
              <w:t xml:space="preserve"> </w:t>
            </w:r>
            <w:r w:rsidR="009A755A">
              <w:rPr>
                <w:rFonts w:cstheme="minorHAnsi"/>
                <w:iCs/>
                <w:sz w:val="16"/>
                <w:szCs w:val="16"/>
                <w:lang w:val="es-419"/>
              </w:rPr>
              <w:t xml:space="preserve">incluidos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>como parte del apoyo de l</w:t>
            </w:r>
            <w:r w:rsidR="00323CF4">
              <w:rPr>
                <w:rFonts w:cstheme="minorHAnsi"/>
                <w:iCs/>
                <w:sz w:val="16"/>
                <w:szCs w:val="16"/>
                <w:lang w:val="es-419"/>
              </w:rPr>
              <w:t>os socios</w:t>
            </w:r>
          </w:p>
        </w:tc>
      </w:tr>
      <w:tr w:rsidR="0085735D" w:rsidRPr="00567060" w14:paraId="5F5EDFBA" w14:textId="77777777" w:rsidTr="00276E5A">
        <w:tc>
          <w:tcPr>
            <w:tcW w:w="1435" w:type="dxa"/>
            <w:shd w:val="clear" w:color="auto" w:fill="B3FFFF"/>
          </w:tcPr>
          <w:p w14:paraId="1A56E726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0CEC572B" w14:textId="77777777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12EE69D6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3511D4" w14:paraId="386FB24F" w14:textId="77777777" w:rsidTr="00276E5A">
        <w:tc>
          <w:tcPr>
            <w:tcW w:w="1435" w:type="dxa"/>
            <w:shd w:val="clear" w:color="auto" w:fill="B3FFFF"/>
          </w:tcPr>
          <w:p w14:paraId="55B9CA1F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538BE226" w14:textId="280CF6CE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personas </w:t>
            </w:r>
          </w:p>
        </w:tc>
      </w:tr>
      <w:tr w:rsidR="0085735D" w:rsidRPr="00D87366" w14:paraId="1A245218" w14:textId="77777777" w:rsidTr="00276E5A">
        <w:tc>
          <w:tcPr>
            <w:tcW w:w="1435" w:type="dxa"/>
            <w:shd w:val="clear" w:color="auto" w:fill="B3FFFF"/>
          </w:tcPr>
          <w:p w14:paraId="301846C2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0EC848E1" w14:textId="77777777" w:rsidR="004E4367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nacional: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Mensual</w:t>
            </w:r>
          </w:p>
          <w:p w14:paraId="2E5F53F3" w14:textId="34A08906" w:rsidR="0085735D" w:rsidRPr="00152C6C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85735D" w:rsidRPr="00D87366" w14:paraId="30BC1F8A" w14:textId="77777777" w:rsidTr="00276E5A">
        <w:tc>
          <w:tcPr>
            <w:tcW w:w="1435" w:type="dxa"/>
            <w:shd w:val="clear" w:color="auto" w:fill="B3FFFF"/>
          </w:tcPr>
          <w:p w14:paraId="7E6E1AC3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6105A5F2" w14:textId="77777777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85735D" w:rsidRPr="00567060" w14:paraId="4D397ACA" w14:textId="77777777" w:rsidTr="00276E5A">
        <w:tc>
          <w:tcPr>
            <w:tcW w:w="1435" w:type="dxa"/>
            <w:shd w:val="clear" w:color="auto" w:fill="B3FFFF"/>
          </w:tcPr>
          <w:p w14:paraId="3C12B6D1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34FC46EB" w14:textId="1F354F43" w:rsidR="0085735D" w:rsidRPr="00152C6C" w:rsidRDefault="0049105E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85735D" w:rsidRPr="00D87366" w14:paraId="629A6BB1" w14:textId="77777777" w:rsidTr="00276E5A">
        <w:tc>
          <w:tcPr>
            <w:tcW w:w="1435" w:type="dxa"/>
            <w:shd w:val="clear" w:color="auto" w:fill="B3FFFF"/>
          </w:tcPr>
          <w:p w14:paraId="312873EC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77F3E4B8" w14:textId="30D59080" w:rsidR="0085735D" w:rsidRPr="00567060" w:rsidRDefault="0085735D" w:rsidP="009A755A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 w:rsidR="0049105E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de análisis: sexo al nacer,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grupos de edad </w:t>
            </w:r>
            <w:r w:rsidR="005113CF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(menor de 19, 19 a 60, mayores de 60 años)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y tipos de bienes que reciben</w:t>
            </w:r>
          </w:p>
        </w:tc>
      </w:tr>
      <w:tr w:rsidR="0085735D" w:rsidRPr="00D87366" w14:paraId="6598BC93" w14:textId="77777777" w:rsidTr="00276E5A">
        <w:tc>
          <w:tcPr>
            <w:tcW w:w="1435" w:type="dxa"/>
            <w:shd w:val="clear" w:color="auto" w:fill="B3FFFF"/>
          </w:tcPr>
          <w:p w14:paraId="59224116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7468E207" w14:textId="49F8D603" w:rsidR="0085735D" w:rsidRPr="00235088" w:rsidRDefault="00EA7849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1D58754D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3147F6C7" w14:textId="77777777" w:rsidTr="00276E5A">
        <w:tc>
          <w:tcPr>
            <w:tcW w:w="1435" w:type="dxa"/>
            <w:shd w:val="clear" w:color="auto" w:fill="B3FFFF"/>
          </w:tcPr>
          <w:p w14:paraId="2F8736AF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7149A4E6" w14:textId="56CC595F" w:rsidR="0085735D" w:rsidRPr="00567060" w:rsidRDefault="0085735D" w:rsidP="009A755A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Existe la probabilidad que se duplique el número de personas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registradas, debido a que una puede recibir </w:t>
            </w:r>
            <w:r w:rsidR="005516C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varias veces insumos</w:t>
            </w:r>
            <w:r w:rsidR="00A31C16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 Riesgo de duplicidad de beneficiarios con los sectores WASH y protección.</w:t>
            </w:r>
          </w:p>
        </w:tc>
      </w:tr>
      <w:tr w:rsidR="0085735D" w:rsidRPr="00D87366" w14:paraId="3179B782" w14:textId="77777777" w:rsidTr="00276E5A">
        <w:tc>
          <w:tcPr>
            <w:tcW w:w="1435" w:type="dxa"/>
            <w:shd w:val="clear" w:color="auto" w:fill="B3FFFF"/>
          </w:tcPr>
          <w:p w14:paraId="30D3077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6A3719FD" w14:textId="77777777" w:rsidR="00EA7849" w:rsidRPr="00235088" w:rsidRDefault="00EA7849" w:rsidP="00EA784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2AD110AE" w14:textId="30A7D1E1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4ADD577E" w14:textId="77777777" w:rsidR="003511D4" w:rsidRDefault="003511D4" w:rsidP="003511D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3B7ED625" w14:textId="77777777" w:rsidR="003511D4" w:rsidRDefault="003511D4" w:rsidP="001554C9">
      <w:pPr>
        <w:jc w:val="both"/>
        <w:rPr>
          <w:i/>
          <w:iCs/>
          <w:lang w:val="es-419"/>
        </w:rPr>
      </w:pPr>
    </w:p>
    <w:p w14:paraId="153F9001" w14:textId="77777777" w:rsidR="007B5064" w:rsidRDefault="00650AAD">
      <w:pPr>
        <w:rPr>
          <w:i/>
          <w:iCs/>
          <w:lang w:val="es-419"/>
        </w:rPr>
      </w:pPr>
      <w:r>
        <w:rPr>
          <w:i/>
          <w:iCs/>
          <w:lang w:val="es-419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B5064" w:rsidRPr="00D87366" w14:paraId="6566F31F" w14:textId="77777777" w:rsidTr="003E1CE1">
        <w:tc>
          <w:tcPr>
            <w:tcW w:w="1435" w:type="dxa"/>
            <w:shd w:val="clear" w:color="auto" w:fill="B3FFFF"/>
          </w:tcPr>
          <w:p w14:paraId="42842E56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63F26704" w14:textId="4A297442" w:rsidR="007B5064" w:rsidRPr="00567060" w:rsidRDefault="007B5064" w:rsidP="00E93EF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E93EF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5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: Refugiados y migrantes que han recibido información sobre promoción y acceso a los servicios de salud</w:t>
            </w:r>
          </w:p>
        </w:tc>
      </w:tr>
      <w:tr w:rsidR="007B5064" w:rsidRPr="00D87366" w14:paraId="7F8A436E" w14:textId="77777777" w:rsidTr="003E1CE1">
        <w:tc>
          <w:tcPr>
            <w:tcW w:w="1435" w:type="dxa"/>
            <w:shd w:val="clear" w:color="auto" w:fill="B3FFFF"/>
          </w:tcPr>
          <w:p w14:paraId="3989D0F7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7722725D" w14:textId="5998D344" w:rsidR="007B5064" w:rsidRPr="00567060" w:rsidRDefault="004542DC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542D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Número de campañas y personas que recibieron información sobre promoción y acceso a los servicios de salud</w:t>
            </w:r>
          </w:p>
        </w:tc>
      </w:tr>
      <w:tr w:rsidR="007B5064" w:rsidRPr="0085571A" w14:paraId="6D8B0C3C" w14:textId="77777777" w:rsidTr="003E1CE1">
        <w:tc>
          <w:tcPr>
            <w:tcW w:w="1435" w:type="dxa"/>
            <w:shd w:val="clear" w:color="auto" w:fill="B3FFFF"/>
          </w:tcPr>
          <w:p w14:paraId="7649D7A8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09E33C40" w14:textId="7BF402CC" w:rsidR="007B5064" w:rsidRDefault="004542DC" w:rsidP="003E1CE1">
            <w:pPr>
              <w:pStyle w:val="Prrafodelista"/>
              <w:ind w:left="0"/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Personas en necesidad</w:t>
            </w:r>
          </w:p>
        </w:tc>
      </w:tr>
      <w:tr w:rsidR="007B5064" w:rsidRPr="00D87366" w14:paraId="493DE096" w14:textId="77777777" w:rsidTr="003E1CE1">
        <w:tc>
          <w:tcPr>
            <w:tcW w:w="1435" w:type="dxa"/>
            <w:shd w:val="clear" w:color="auto" w:fill="B3FFFF"/>
          </w:tcPr>
          <w:p w14:paraId="0A61415A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5014CE5F" w14:textId="77777777" w:rsidR="007B5064" w:rsidRPr="0088719C" w:rsidRDefault="007B5064" w:rsidP="003E1CE1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Los refugiados y migrantes reciben atención, insumos e información de salud</w:t>
            </w:r>
          </w:p>
        </w:tc>
      </w:tr>
      <w:tr w:rsidR="007B5064" w:rsidRPr="00D87366" w14:paraId="2569F987" w14:textId="77777777" w:rsidTr="003E1CE1">
        <w:tc>
          <w:tcPr>
            <w:tcW w:w="1435" w:type="dxa"/>
            <w:shd w:val="clear" w:color="auto" w:fill="B3FFFF"/>
          </w:tcPr>
          <w:p w14:paraId="65DDBEAB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06E8A0B5" w14:textId="7F0BE0E6" w:rsidR="004749E4" w:rsidRPr="00E64D5B" w:rsidRDefault="004749E4" w:rsidP="004749E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749E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Este indicador mide el apoyo de los socios del sector salud de las plataformas nacionales, mediante la difusión de información sobre acceso a los servicios de salud del país receptor; así como acciones de promoción ante los problemas de salud mediante diferentes estrategias como campañas de comunicación, entrega de folletos, entre otros.</w:t>
            </w:r>
          </w:p>
        </w:tc>
      </w:tr>
      <w:tr w:rsidR="007B5064" w:rsidRPr="00D87366" w14:paraId="29F064DD" w14:textId="77777777" w:rsidTr="003E1CE1">
        <w:tc>
          <w:tcPr>
            <w:tcW w:w="1435" w:type="dxa"/>
            <w:shd w:val="clear" w:color="auto" w:fill="B3FFFF"/>
          </w:tcPr>
          <w:p w14:paraId="6D96653D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3DB6D404" w14:textId="77777777" w:rsidR="007B5064" w:rsidRPr="00567060" w:rsidRDefault="007B5064" w:rsidP="003E1CE1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el número de personas refugiadas y migrantes que han recibido información sobre promoción y acceso a los servicios de salud como parte de las acciones de los socios del sector salud de las plataformas nacionales.</w:t>
            </w:r>
          </w:p>
        </w:tc>
      </w:tr>
      <w:tr w:rsidR="007B5064" w:rsidRPr="00D87366" w14:paraId="55F5EB28" w14:textId="77777777" w:rsidTr="003E1CE1">
        <w:tc>
          <w:tcPr>
            <w:tcW w:w="1435" w:type="dxa"/>
            <w:shd w:val="clear" w:color="auto" w:fill="B3FFFF"/>
          </w:tcPr>
          <w:p w14:paraId="065A29BC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08BBA973" w14:textId="3CEDA88E" w:rsidR="004749E4" w:rsidRDefault="007B5064" w:rsidP="004749E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se realiza la sumatoria del número </w:t>
            </w:r>
            <w:r w:rsidR="004749E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de campañas de</w:t>
            </w:r>
            <w:r w:rsidR="002D2E46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comunicación </w:t>
            </w:r>
            <w:r w:rsidR="004749E4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y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personas refugiadas y migrantes que han recibido información sobre promoción y </w:t>
            </w:r>
            <w:r w:rsidR="004749E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acceso a los servicios de salud a través de campañas u otras actividades de comunicación realizadas por los socios.</w:t>
            </w:r>
          </w:p>
          <w:p w14:paraId="308E1630" w14:textId="22606095" w:rsidR="007B5064" w:rsidRPr="00567060" w:rsidRDefault="007B5064" w:rsidP="004749E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>Se suman los países que reportan que los refugiados y migrantes han recibido información sobre promoción y acceso a los servicios de salud como parte del apoyo de los socios.</w:t>
            </w:r>
          </w:p>
        </w:tc>
      </w:tr>
      <w:tr w:rsidR="007B5064" w:rsidRPr="004749E4" w14:paraId="57BB4053" w14:textId="77777777" w:rsidTr="003E1CE1">
        <w:tc>
          <w:tcPr>
            <w:tcW w:w="1435" w:type="dxa"/>
            <w:shd w:val="clear" w:color="auto" w:fill="B3FFFF"/>
          </w:tcPr>
          <w:p w14:paraId="564B2E74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1D41F893" w14:textId="77777777" w:rsidR="007B5064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06E9F07B" w14:textId="77777777" w:rsidR="007B5064" w:rsidRPr="00567060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7B5064" w:rsidRPr="004749E4" w14:paraId="77DE4E24" w14:textId="77777777" w:rsidTr="003E1CE1">
        <w:tc>
          <w:tcPr>
            <w:tcW w:w="1435" w:type="dxa"/>
            <w:shd w:val="clear" w:color="auto" w:fill="B3FFFF"/>
          </w:tcPr>
          <w:p w14:paraId="459F9F59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17B0E217" w14:textId="182C9319" w:rsidR="007B5064" w:rsidRPr="00152C6C" w:rsidRDefault="004749E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Campaña</w:t>
            </w:r>
            <w:r w:rsidR="0014369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y número de personas</w:t>
            </w:r>
          </w:p>
        </w:tc>
      </w:tr>
      <w:tr w:rsidR="007B5064" w:rsidRPr="00D87366" w14:paraId="25DC37F7" w14:textId="77777777" w:rsidTr="003E1CE1">
        <w:tc>
          <w:tcPr>
            <w:tcW w:w="1435" w:type="dxa"/>
            <w:shd w:val="clear" w:color="auto" w:fill="B3FFFF"/>
          </w:tcPr>
          <w:p w14:paraId="2668A75A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17E8ED4E" w14:textId="77777777" w:rsidR="007B5064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nacional: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Mensual</w:t>
            </w:r>
          </w:p>
          <w:p w14:paraId="5DE4995C" w14:textId="77777777" w:rsidR="007B5064" w:rsidRPr="00152C6C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7B5064" w:rsidRPr="00D87366" w14:paraId="15766C1A" w14:textId="77777777" w:rsidTr="003E1CE1">
        <w:tc>
          <w:tcPr>
            <w:tcW w:w="1435" w:type="dxa"/>
            <w:shd w:val="clear" w:color="auto" w:fill="B3FFFF"/>
          </w:tcPr>
          <w:p w14:paraId="0C5BB488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352988EB" w14:textId="77777777" w:rsidR="007B5064" w:rsidRPr="00152C6C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7B5064" w:rsidRPr="00567060" w14:paraId="7E86F651" w14:textId="77777777" w:rsidTr="003E1CE1">
        <w:tc>
          <w:tcPr>
            <w:tcW w:w="1435" w:type="dxa"/>
            <w:shd w:val="clear" w:color="auto" w:fill="B3FFFF"/>
          </w:tcPr>
          <w:p w14:paraId="7B1DD4EB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427E3368" w14:textId="77777777" w:rsidR="007B5064" w:rsidRPr="00152C6C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7B5064" w:rsidRPr="00D87366" w14:paraId="072715D1" w14:textId="77777777" w:rsidTr="003E1CE1">
        <w:tc>
          <w:tcPr>
            <w:tcW w:w="1435" w:type="dxa"/>
            <w:shd w:val="clear" w:color="auto" w:fill="B3FFFF"/>
          </w:tcPr>
          <w:p w14:paraId="1AA483F4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3466EB4D" w14:textId="77777777" w:rsidR="007B5064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de análisis: sexo al nacer,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grupos de edad (menor de 19, 19 a 60, mayores de 60 años)</w:t>
            </w:r>
          </w:p>
          <w:p w14:paraId="6B5DC3A2" w14:textId="77777777" w:rsidR="007B5064" w:rsidRPr="00567060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7B5064" w:rsidRPr="00D87366" w14:paraId="774B4B3D" w14:textId="77777777" w:rsidTr="003E1CE1">
        <w:tc>
          <w:tcPr>
            <w:tcW w:w="1435" w:type="dxa"/>
            <w:shd w:val="clear" w:color="auto" w:fill="B3FFFF"/>
          </w:tcPr>
          <w:p w14:paraId="017C9F10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24EEDBC4" w14:textId="77777777" w:rsidR="007B5064" w:rsidRPr="00235088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7A71B575" w14:textId="77777777" w:rsidR="007B5064" w:rsidRPr="00567060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7B5064" w:rsidRPr="00D87366" w14:paraId="732C951B" w14:textId="77777777" w:rsidTr="003E1CE1">
        <w:tc>
          <w:tcPr>
            <w:tcW w:w="1435" w:type="dxa"/>
            <w:shd w:val="clear" w:color="auto" w:fill="B3FFFF"/>
          </w:tcPr>
          <w:p w14:paraId="1E9263D0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710BF7C1" w14:textId="77777777" w:rsidR="007B5064" w:rsidRPr="00567060" w:rsidRDefault="007B5064" w:rsidP="003E1CE1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Existe la probabilidad que se duplique el número de personas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que reciben información, al ser una acción que varios socios la pueden realizar en el mismo espacio geográfico.</w:t>
            </w:r>
          </w:p>
        </w:tc>
      </w:tr>
      <w:tr w:rsidR="007B5064" w:rsidRPr="00D87366" w14:paraId="6D547A33" w14:textId="77777777" w:rsidTr="003E1CE1">
        <w:tc>
          <w:tcPr>
            <w:tcW w:w="1435" w:type="dxa"/>
            <w:shd w:val="clear" w:color="auto" w:fill="B3FFFF"/>
          </w:tcPr>
          <w:p w14:paraId="10611F87" w14:textId="77777777" w:rsidR="007B5064" w:rsidRPr="00567060" w:rsidRDefault="007B5064" w:rsidP="003E1CE1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7903351D" w14:textId="77777777" w:rsidR="007B5064" w:rsidRPr="00235088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0B1986C9" w14:textId="77777777" w:rsidR="007B5064" w:rsidRPr="00152C6C" w:rsidRDefault="007B5064" w:rsidP="003E1CE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0BEA2336" w14:textId="5CE0E4AC" w:rsidR="007B5064" w:rsidRDefault="007B5064">
      <w:pPr>
        <w:rPr>
          <w:i/>
          <w:iCs/>
          <w:lang w:val="es-419"/>
        </w:rPr>
      </w:pPr>
      <w:r>
        <w:rPr>
          <w:i/>
          <w:iCs/>
          <w:lang w:val="es-419"/>
        </w:rPr>
        <w:t xml:space="preserve"> </w:t>
      </w:r>
      <w:r>
        <w:rPr>
          <w:i/>
          <w:iCs/>
          <w:lang w:val="es-419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50AAD" w:rsidRPr="00D87366" w14:paraId="5BA42FCA" w14:textId="77777777" w:rsidTr="00276E5A">
        <w:tc>
          <w:tcPr>
            <w:tcW w:w="1435" w:type="dxa"/>
            <w:shd w:val="clear" w:color="auto" w:fill="B3FFFF"/>
          </w:tcPr>
          <w:p w14:paraId="666C3C12" w14:textId="77777777" w:rsidR="00650AAD" w:rsidRPr="00567060" w:rsidRDefault="00650AAD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61497F44" w14:textId="32624F79" w:rsidR="00650AAD" w:rsidRPr="00567060" w:rsidRDefault="00650AAD" w:rsidP="00E93EF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E93EF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6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: </w:t>
            </w:r>
            <w:r w:rsidR="00C662AE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Establecimientos de salud apoyados para la atención de las personas refugiada y migrantes</w:t>
            </w:r>
          </w:p>
        </w:tc>
      </w:tr>
      <w:tr w:rsidR="00650AAD" w:rsidRPr="00D87366" w14:paraId="54791D66" w14:textId="77777777" w:rsidTr="00276E5A">
        <w:tc>
          <w:tcPr>
            <w:tcW w:w="1435" w:type="dxa"/>
            <w:shd w:val="clear" w:color="auto" w:fill="B3FFFF"/>
          </w:tcPr>
          <w:p w14:paraId="44CA3B4A" w14:textId="77777777" w:rsidR="00650AAD" w:rsidRPr="00567060" w:rsidRDefault="00650AAD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1D5156BC" w14:textId="1D08AA61" w:rsidR="00650AAD" w:rsidRPr="00567060" w:rsidRDefault="00C662AE" w:rsidP="00F11F4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 w:rsidR="00650AAD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establecimientos de salud </w:t>
            </w:r>
            <w:r w:rsidR="000B4970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que han sido </w:t>
            </w:r>
            <w:r w:rsidR="00650AAD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apoyados </w:t>
            </w:r>
            <w:r w:rsidR="00F11F4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para la atención de las personas refugiada y migrantes</w:t>
            </w:r>
          </w:p>
        </w:tc>
      </w:tr>
      <w:tr w:rsidR="0085735D" w:rsidRPr="0085735D" w14:paraId="5C92EA4E" w14:textId="77777777" w:rsidTr="00276E5A">
        <w:tc>
          <w:tcPr>
            <w:tcW w:w="1435" w:type="dxa"/>
            <w:shd w:val="clear" w:color="auto" w:fill="B3FFFF"/>
          </w:tcPr>
          <w:p w14:paraId="1DF120CE" w14:textId="75466981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46844D36" w14:textId="08387CEE" w:rsidR="0085735D" w:rsidRDefault="004E4367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Infraestructura</w:t>
            </w:r>
          </w:p>
        </w:tc>
      </w:tr>
      <w:tr w:rsidR="0085735D" w:rsidRPr="00D87366" w14:paraId="5D81EF74" w14:textId="77777777" w:rsidTr="00276E5A">
        <w:tc>
          <w:tcPr>
            <w:tcW w:w="1435" w:type="dxa"/>
            <w:shd w:val="clear" w:color="auto" w:fill="B3FFFF"/>
          </w:tcPr>
          <w:p w14:paraId="4569A74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014209E3" w14:textId="20564DE1" w:rsidR="0085735D" w:rsidRPr="00567060" w:rsidRDefault="007B5064" w:rsidP="007B5064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Se fortalece a los servicios de salud para que presten atención</w:t>
            </w:r>
          </w:p>
        </w:tc>
      </w:tr>
      <w:tr w:rsidR="0085735D" w:rsidRPr="00D87366" w14:paraId="2E05DC06" w14:textId="77777777" w:rsidTr="00276E5A">
        <w:tc>
          <w:tcPr>
            <w:tcW w:w="1435" w:type="dxa"/>
            <w:shd w:val="clear" w:color="auto" w:fill="B3FFFF"/>
          </w:tcPr>
          <w:p w14:paraId="5CCC128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1BEEAA3E" w14:textId="5AA05493" w:rsidR="0085735D" w:rsidRPr="00567060" w:rsidRDefault="0085735D" w:rsidP="00E8212F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Este indicador mide el </w:t>
            </w:r>
            <w:r w:rsidR="000B4970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establecimientos de salud </w:t>
            </w:r>
            <w:r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(incluidos hospitales, clínicas, laboratorios, centros de atención ambulatoria y centros de atención especializada, etc.)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que atienden a personas refugiadas y migrantes de Venezuela, y que </w:t>
            </w:r>
            <w:r w:rsidR="000B4970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han recibido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medicamentos, dispositivos médicos, insumos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médicos o han mejorado su infraestructura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por parte 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los socios del sector salud de las plataformas nacionales. </w:t>
            </w:r>
          </w:p>
        </w:tc>
      </w:tr>
      <w:tr w:rsidR="0085735D" w:rsidRPr="00D87366" w14:paraId="4BC7276F" w14:textId="77777777" w:rsidTr="00276E5A">
        <w:tc>
          <w:tcPr>
            <w:tcW w:w="1435" w:type="dxa"/>
            <w:shd w:val="clear" w:color="auto" w:fill="B3FFFF"/>
          </w:tcPr>
          <w:p w14:paraId="31D6A14E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11F6FFFC" w14:textId="75572F19" w:rsidR="0085735D" w:rsidRPr="00567060" w:rsidRDefault="0085735D" w:rsidP="000E1E1D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el número de </w:t>
            </w:r>
            <w:r w:rsidR="009B5D0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establecimientos de salud de los diferentes niveles e atención han recibido algún tipo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apoyo (medicamentos, dispositivos médicos, insumos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médicos, obras de mejoramiento de la infraestructura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) para reforzar y ampliar su capacidad de atención de las personas refugiadas y migrantes de Venezuela.</w:t>
            </w:r>
          </w:p>
        </w:tc>
      </w:tr>
      <w:tr w:rsidR="0085735D" w:rsidRPr="00D87366" w14:paraId="0F8F8EBA" w14:textId="77777777" w:rsidTr="00276E5A">
        <w:tc>
          <w:tcPr>
            <w:tcW w:w="1435" w:type="dxa"/>
            <w:shd w:val="clear" w:color="auto" w:fill="B3FFFF"/>
          </w:tcPr>
          <w:p w14:paraId="3240B2B4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6EC355D7" w14:textId="0B264AA0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se realiza la sumatoria del número de establecimientos de salud, de los diferentes niveles de atención que pertenecen al país receptor, que han recibido algún tipo de apoyo en medicamentos, insumos 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médicos,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dispositivos médicos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obras de infraest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u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ctu</w:t>
            </w:r>
            <w:r w:rsidR="000E1E1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; por 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parte de los socios del sector salud de las plataformas nacionales.</w:t>
            </w:r>
          </w:p>
          <w:p w14:paraId="66B38203" w14:textId="22C5F06A" w:rsidR="0085735D" w:rsidRPr="00567060" w:rsidRDefault="0085735D" w:rsidP="00E8212F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 xml:space="preserve">Se suman los países que reportan que sus establecimientos de salud han recibido algún apoyo por parte de 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los socios del sector salud de las plataformas nacionales.</w:t>
            </w:r>
          </w:p>
        </w:tc>
      </w:tr>
      <w:tr w:rsidR="0085735D" w:rsidRPr="00EA64F2" w14:paraId="7A8F6355" w14:textId="77777777" w:rsidTr="00276E5A">
        <w:tc>
          <w:tcPr>
            <w:tcW w:w="1435" w:type="dxa"/>
            <w:shd w:val="clear" w:color="auto" w:fill="B3FFFF"/>
          </w:tcPr>
          <w:p w14:paraId="11631CB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274EAD5E" w14:textId="77777777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2250385F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3963B7" w14:paraId="108F856D" w14:textId="77777777" w:rsidTr="00276E5A">
        <w:tc>
          <w:tcPr>
            <w:tcW w:w="1435" w:type="dxa"/>
            <w:shd w:val="clear" w:color="auto" w:fill="B3FFFF"/>
          </w:tcPr>
          <w:p w14:paraId="69E2B760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39A1D5B0" w14:textId="1EA4E2E9" w:rsidR="0085735D" w:rsidRPr="00152C6C" w:rsidRDefault="0085735D" w:rsidP="00E8212F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establecimientos apoyados</w:t>
            </w:r>
          </w:p>
        </w:tc>
      </w:tr>
      <w:tr w:rsidR="0085735D" w:rsidRPr="00D87366" w14:paraId="13F66FB4" w14:textId="77777777" w:rsidTr="00276E5A">
        <w:tc>
          <w:tcPr>
            <w:tcW w:w="1435" w:type="dxa"/>
            <w:shd w:val="clear" w:color="auto" w:fill="B3FFFF"/>
          </w:tcPr>
          <w:p w14:paraId="6CFE5AD2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223EC251" w14:textId="77777777" w:rsidR="004E4367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</w:t>
            </w:r>
            <w:r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nacional</w:t>
            </w: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  <w:p w14:paraId="74EF1B47" w14:textId="5CB161C2" w:rsidR="0085735D" w:rsidRPr="00152C6C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85735D" w:rsidRPr="00D87366" w14:paraId="5D2A53B3" w14:textId="77777777" w:rsidTr="00276E5A">
        <w:tc>
          <w:tcPr>
            <w:tcW w:w="1435" w:type="dxa"/>
            <w:shd w:val="clear" w:color="auto" w:fill="B3FFFF"/>
          </w:tcPr>
          <w:p w14:paraId="7027F812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4864C6C5" w14:textId="77777777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85735D" w:rsidRPr="00567060" w14:paraId="763C4FA9" w14:textId="77777777" w:rsidTr="00276E5A">
        <w:tc>
          <w:tcPr>
            <w:tcW w:w="1435" w:type="dxa"/>
            <w:shd w:val="clear" w:color="auto" w:fill="B3FFFF"/>
          </w:tcPr>
          <w:p w14:paraId="3BD9D597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2EE3DA59" w14:textId="12593F45" w:rsidR="0085735D" w:rsidRPr="00152C6C" w:rsidRDefault="0049105E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85735D" w:rsidRPr="00D87366" w14:paraId="1DB30440" w14:textId="77777777" w:rsidTr="00276E5A">
        <w:tc>
          <w:tcPr>
            <w:tcW w:w="1435" w:type="dxa"/>
            <w:shd w:val="clear" w:color="auto" w:fill="B3FFFF"/>
          </w:tcPr>
          <w:p w14:paraId="02C9039B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2D4AF8A7" w14:textId="69BE26CD" w:rsidR="00AD7579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</w:t>
            </w:r>
            <w:r w:rsidR="0049105E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mínimas </w:t>
            </w: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de análisis: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tipo de establecimientos</w:t>
            </w:r>
            <w:r w:rsidR="00AD7579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  <w:r w:rsidR="00AD7579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(</w:t>
            </w:r>
            <w:r w:rsidR="00AD7579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puestos, centros, </w:t>
            </w:r>
            <w:r w:rsidR="00AD7579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hospitales, clínicas, laboratorios, centros de atención ambulatoria y centros de at</w:t>
            </w:r>
            <w:r w:rsidR="00AD7579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ención especializada, y otros</w:t>
            </w:r>
            <w:r w:rsidR="00AD7579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)</w:t>
            </w:r>
          </w:p>
          <w:p w14:paraId="749BF280" w14:textId="70B0C025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2546B85E" w14:textId="77777777" w:rsidTr="00276E5A">
        <w:tc>
          <w:tcPr>
            <w:tcW w:w="1435" w:type="dxa"/>
            <w:shd w:val="clear" w:color="auto" w:fill="B3FFFF"/>
          </w:tcPr>
          <w:p w14:paraId="77B6DD71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44B89417" w14:textId="2ADF5B02" w:rsidR="0085735D" w:rsidRPr="00235088" w:rsidRDefault="00EA7849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3D5A4238" w14:textId="4E002E63" w:rsidR="0085735D" w:rsidRPr="00235088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  <w:p w14:paraId="4AAB3616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458087BD" w14:textId="77777777" w:rsidTr="00276E5A">
        <w:tc>
          <w:tcPr>
            <w:tcW w:w="1435" w:type="dxa"/>
            <w:shd w:val="clear" w:color="auto" w:fill="B3FFFF"/>
          </w:tcPr>
          <w:p w14:paraId="251BC7D7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35CE46D7" w14:textId="115AB938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Existe la probabilidad que se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duplique el número de establecimientos apoyados, debido a que uno puede recibir bienes de parte de más de una organización. De igual manera, los establecimientos con servicios de atención de segundo y tercer nivel, pueden reportar apoyos duplicados, dado que los mismos se han obtenido en los diferentes niveles de atención.</w:t>
            </w:r>
          </w:p>
        </w:tc>
      </w:tr>
      <w:tr w:rsidR="0085735D" w:rsidRPr="00D87366" w14:paraId="391B607D" w14:textId="77777777" w:rsidTr="00276E5A">
        <w:tc>
          <w:tcPr>
            <w:tcW w:w="1435" w:type="dxa"/>
            <w:shd w:val="clear" w:color="auto" w:fill="B3FFFF"/>
          </w:tcPr>
          <w:p w14:paraId="6EE42B22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55B3162B" w14:textId="77777777" w:rsidR="00EA7849" w:rsidRPr="00235088" w:rsidRDefault="00EA7849" w:rsidP="00EA784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4257B083" w14:textId="37FD802E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</w:tbl>
    <w:p w14:paraId="33D3FBB6" w14:textId="77777777" w:rsidR="003511D4" w:rsidRPr="00650AAD" w:rsidRDefault="003511D4" w:rsidP="001554C9">
      <w:pPr>
        <w:jc w:val="both"/>
        <w:rPr>
          <w:i/>
          <w:iCs/>
          <w:lang w:val="es-PE"/>
        </w:rPr>
      </w:pPr>
    </w:p>
    <w:p w14:paraId="305572F5" w14:textId="46305DDF" w:rsidR="00650AAD" w:rsidRDefault="00650AAD">
      <w:pPr>
        <w:rPr>
          <w:i/>
          <w:iCs/>
          <w:lang w:val="es-419"/>
        </w:rPr>
      </w:pPr>
      <w:r>
        <w:rPr>
          <w:i/>
          <w:iCs/>
          <w:lang w:val="es-419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50AAD" w:rsidRPr="00D87366" w14:paraId="3DEDAE13" w14:textId="77777777" w:rsidTr="00276E5A">
        <w:tc>
          <w:tcPr>
            <w:tcW w:w="1435" w:type="dxa"/>
            <w:shd w:val="clear" w:color="auto" w:fill="B3FFFF"/>
          </w:tcPr>
          <w:p w14:paraId="0F373908" w14:textId="77777777" w:rsidR="00650AAD" w:rsidRPr="00567060" w:rsidRDefault="00650AAD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lastRenderedPageBreak/>
              <w:br w:type="page"/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br w:type="page"/>
            </w: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Código y título </w:t>
            </w:r>
          </w:p>
        </w:tc>
        <w:tc>
          <w:tcPr>
            <w:tcW w:w="7915" w:type="dxa"/>
          </w:tcPr>
          <w:p w14:paraId="54939CA8" w14:textId="1F68E55E" w:rsidR="00650AAD" w:rsidRPr="00567060" w:rsidRDefault="00650AAD" w:rsidP="00E93EF1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HE</w:t>
            </w:r>
            <w:r w:rsidR="00E93EF1">
              <w:rPr>
                <w:rFonts w:cstheme="minorHAnsi"/>
                <w:i/>
                <w:iCs/>
                <w:sz w:val="16"/>
                <w:szCs w:val="16"/>
                <w:lang w:val="es-419"/>
              </w:rPr>
              <w:t>7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: </w:t>
            </w:r>
            <w:r w:rsidR="00E33017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BB4CB4">
              <w:rPr>
                <w:rFonts w:cstheme="minorHAnsi"/>
                <w:i/>
                <w:iCs/>
                <w:sz w:val="16"/>
                <w:szCs w:val="16"/>
                <w:lang w:val="es-419"/>
              </w:rPr>
              <w:t>Personal de salud y trabajadores comunitarios capacitados</w:t>
            </w:r>
          </w:p>
        </w:tc>
      </w:tr>
      <w:tr w:rsidR="00650AAD" w:rsidRPr="00D87366" w14:paraId="4E48E4FA" w14:textId="77777777" w:rsidTr="00276E5A">
        <w:tc>
          <w:tcPr>
            <w:tcW w:w="1435" w:type="dxa"/>
            <w:shd w:val="clear" w:color="auto" w:fill="B3FFFF"/>
          </w:tcPr>
          <w:p w14:paraId="623BEEF5" w14:textId="77777777" w:rsidR="00650AAD" w:rsidRPr="00567060" w:rsidRDefault="00650AAD" w:rsidP="00276E5A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Nombre </w:t>
            </w:r>
          </w:p>
        </w:tc>
        <w:tc>
          <w:tcPr>
            <w:tcW w:w="7915" w:type="dxa"/>
          </w:tcPr>
          <w:p w14:paraId="304B27F6" w14:textId="4AA288E8" w:rsidR="00650AAD" w:rsidRPr="00567060" w:rsidRDefault="00E33017" w:rsidP="00E3301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Número de personal de salud y t</w:t>
            </w:r>
            <w:r w:rsidR="00650AAD" w:rsidRPr="00650AA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rabajadores com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unitarios capacitados</w:t>
            </w:r>
          </w:p>
        </w:tc>
      </w:tr>
      <w:tr w:rsidR="0085735D" w:rsidRPr="0085735D" w14:paraId="02027105" w14:textId="77777777" w:rsidTr="00276E5A">
        <w:tc>
          <w:tcPr>
            <w:tcW w:w="1435" w:type="dxa"/>
            <w:shd w:val="clear" w:color="auto" w:fill="B3FFFF"/>
          </w:tcPr>
          <w:p w14:paraId="7FD4978D" w14:textId="0C480104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Tipo de indicador</w:t>
            </w:r>
          </w:p>
        </w:tc>
        <w:tc>
          <w:tcPr>
            <w:tcW w:w="7915" w:type="dxa"/>
          </w:tcPr>
          <w:p w14:paraId="635F51CA" w14:textId="748AB238" w:rsidR="0085735D" w:rsidRDefault="0014369C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Capacitaciones</w:t>
            </w:r>
          </w:p>
          <w:p w14:paraId="19C6FDC7" w14:textId="1C82DCDA" w:rsidR="00646E2C" w:rsidRDefault="00646E2C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3609A623" w14:textId="77777777" w:rsidTr="00276E5A">
        <w:tc>
          <w:tcPr>
            <w:tcW w:w="1435" w:type="dxa"/>
            <w:shd w:val="clear" w:color="auto" w:fill="B3FFFF"/>
          </w:tcPr>
          <w:p w14:paraId="5D853824" w14:textId="5AD18DDE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Vinculación con output</w:t>
            </w:r>
          </w:p>
        </w:tc>
        <w:tc>
          <w:tcPr>
            <w:tcW w:w="7915" w:type="dxa"/>
          </w:tcPr>
          <w:p w14:paraId="5AC79771" w14:textId="25338B57" w:rsidR="0085735D" w:rsidRPr="00567060" w:rsidRDefault="007B5064" w:rsidP="0085735D">
            <w:pPr>
              <w:jc w:val="both"/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Se fortalece a los servicios de salud para que presten atención</w:t>
            </w:r>
          </w:p>
        </w:tc>
      </w:tr>
      <w:tr w:rsidR="0085735D" w:rsidRPr="00D87366" w14:paraId="1444F524" w14:textId="77777777" w:rsidTr="00276E5A">
        <w:tc>
          <w:tcPr>
            <w:tcW w:w="1435" w:type="dxa"/>
            <w:shd w:val="clear" w:color="auto" w:fill="B3FFFF"/>
          </w:tcPr>
          <w:p w14:paraId="2B376F9F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Definición </w:t>
            </w:r>
          </w:p>
        </w:tc>
        <w:tc>
          <w:tcPr>
            <w:tcW w:w="7915" w:type="dxa"/>
          </w:tcPr>
          <w:p w14:paraId="08C1F79D" w14:textId="27C7FC9D" w:rsidR="0085735D" w:rsidRPr="00567060" w:rsidRDefault="0085735D" w:rsidP="00593BC8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Este indicador mide la cantidad de personas que trabajan en establecimientos de salud (personal sanitario: médicos, enfermeras, laboratoristas, </w:t>
            </w:r>
            <w:proofErr w:type="spellStart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etc</w:t>
            </w:r>
            <w:proofErr w:type="spellEnd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) y en otros servicios de atención en salud en de las comunidades de acogida (promotores, agentes, líderes y actores comunitarios), que han recibido capacitación (</w:t>
            </w:r>
            <w:r w:rsidR="00593BC8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mediante </w:t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charlas, talleres, seminarios,</w:t>
            </w:r>
            <w:r w:rsidR="00E8212F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 </w:t>
            </w:r>
            <w:proofErr w:type="spellStart"/>
            <w:r w:rsidR="00E8212F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webinars</w:t>
            </w:r>
            <w:proofErr w:type="spellEnd"/>
            <w:r w:rsidR="00E8212F"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) por parte de los socios del sector salud de las plataformas nacionales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, en temas de atención primaria, primeros auxilios, atención de emergencia, salud sexual y reproductiva, prevención y atención de casos de violencia basada en género, VIH/sida, salud mental y otros temas.</w:t>
            </w:r>
          </w:p>
        </w:tc>
      </w:tr>
      <w:tr w:rsidR="0085735D" w:rsidRPr="00D87366" w14:paraId="09CFCE26" w14:textId="77777777" w:rsidTr="00276E5A">
        <w:tc>
          <w:tcPr>
            <w:tcW w:w="1435" w:type="dxa"/>
            <w:shd w:val="clear" w:color="auto" w:fill="B3FFFF"/>
          </w:tcPr>
          <w:p w14:paraId="347D14E9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Propósito</w:t>
            </w:r>
          </w:p>
        </w:tc>
        <w:tc>
          <w:tcPr>
            <w:tcW w:w="7915" w:type="dxa"/>
          </w:tcPr>
          <w:p w14:paraId="3D97F647" w14:textId="2B0883B3" w:rsidR="0085735D" w:rsidRPr="00567060" w:rsidRDefault="0085735D" w:rsidP="0085735D">
            <w:pPr>
              <w:tabs>
                <w:tab w:val="left" w:pos="4993"/>
              </w:tabs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D479ED">
              <w:rPr>
                <w:rFonts w:cstheme="minorHAnsi"/>
                <w:i/>
                <w:iCs/>
                <w:sz w:val="16"/>
                <w:szCs w:val="16"/>
                <w:lang w:val="es-419"/>
              </w:rPr>
              <w:t>El indicador propuesto está destinado a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conocer el alcance de la capacitación que recibe el personal de los establecimientos de salud y los trabajadores comunitarios para atender a las personas refugiadas y migrantes de Venezuela en áreas vinculadas con la salud.</w:t>
            </w:r>
          </w:p>
        </w:tc>
      </w:tr>
      <w:tr w:rsidR="0085735D" w:rsidRPr="00D87366" w14:paraId="108D5D8A" w14:textId="77777777" w:rsidTr="00276E5A">
        <w:tc>
          <w:tcPr>
            <w:tcW w:w="1435" w:type="dxa"/>
            <w:shd w:val="clear" w:color="auto" w:fill="B3FFFF"/>
          </w:tcPr>
          <w:p w14:paraId="04243ECE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Método de cálculo</w:t>
            </w:r>
          </w:p>
        </w:tc>
        <w:tc>
          <w:tcPr>
            <w:tcW w:w="7915" w:type="dxa"/>
          </w:tcPr>
          <w:p w14:paraId="7D8A24BF" w14:textId="0AFC7365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nacional: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Para el cálculo a nivel de país,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se realiza la sumatoria del número personas capacitadas (personal de salud, trabajadores co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munitarios) con el apoyo de los socios del sector salud de las plataformas nacionales.</w:t>
            </w:r>
          </w:p>
          <w:p w14:paraId="37B0B144" w14:textId="65789C20" w:rsidR="0085735D" w:rsidRPr="00567060" w:rsidRDefault="0085735D" w:rsidP="00E8212F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b/>
                <w:bCs/>
                <w:i/>
                <w:iCs/>
                <w:sz w:val="16"/>
                <w:szCs w:val="16"/>
                <w:lang w:val="es-419"/>
              </w:rPr>
              <w:t>Cálculo a nivel regional:</w:t>
            </w: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  <w:lang w:val="es-419"/>
              </w:rPr>
              <w:t xml:space="preserve">Se suman los países que reportan cuántas personas han sido capacitadas con el apoyo de </w:t>
            </w:r>
            <w:r w:rsidR="00E8212F">
              <w:rPr>
                <w:rFonts w:cstheme="minorHAnsi"/>
                <w:i/>
                <w:iCs/>
                <w:sz w:val="16"/>
                <w:szCs w:val="16"/>
                <w:lang w:val="es-419"/>
              </w:rPr>
              <w:t>los socios del sector salud de las plataformas nacionales.</w:t>
            </w:r>
          </w:p>
        </w:tc>
      </w:tr>
      <w:tr w:rsidR="0085735D" w:rsidRPr="00567060" w14:paraId="48BE9989" w14:textId="77777777" w:rsidTr="00276E5A">
        <w:tc>
          <w:tcPr>
            <w:tcW w:w="1435" w:type="dxa"/>
            <w:shd w:val="clear" w:color="auto" w:fill="B3FFFF"/>
          </w:tcPr>
          <w:p w14:paraId="1A4A36D3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 xml:space="preserve">Tipo </w:t>
            </w:r>
          </w:p>
        </w:tc>
        <w:tc>
          <w:tcPr>
            <w:tcW w:w="7915" w:type="dxa"/>
          </w:tcPr>
          <w:p w14:paraId="3477975A" w14:textId="77777777" w:rsidR="0085735D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EE2BF2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Absoluto</w:t>
            </w:r>
          </w:p>
          <w:p w14:paraId="2C25FF44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5674912D" w14:textId="77777777" w:rsidTr="00276E5A">
        <w:tc>
          <w:tcPr>
            <w:tcW w:w="1435" w:type="dxa"/>
            <w:shd w:val="clear" w:color="auto" w:fill="B3FFFF"/>
          </w:tcPr>
          <w:p w14:paraId="531501B2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Unidad de medida</w:t>
            </w:r>
          </w:p>
        </w:tc>
        <w:tc>
          <w:tcPr>
            <w:tcW w:w="7915" w:type="dxa"/>
          </w:tcPr>
          <w:p w14:paraId="67EEFD34" w14:textId="2B856D52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Número de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personas que han participado en  espacios de información y capacitación </w:t>
            </w:r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(charlas, talleres, seminarios, </w:t>
            </w:r>
            <w:proofErr w:type="spellStart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webinars</w:t>
            </w:r>
            <w:proofErr w:type="spellEnd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etc</w:t>
            </w:r>
            <w:proofErr w:type="spellEnd"/>
            <w:r>
              <w:rPr>
                <w:rFonts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es-419"/>
              </w:rPr>
              <w:t>)</w:t>
            </w:r>
          </w:p>
        </w:tc>
      </w:tr>
      <w:tr w:rsidR="0085735D" w:rsidRPr="00D87366" w14:paraId="42058194" w14:textId="77777777" w:rsidTr="00276E5A">
        <w:tc>
          <w:tcPr>
            <w:tcW w:w="1435" w:type="dxa"/>
            <w:shd w:val="clear" w:color="auto" w:fill="B3FFFF"/>
          </w:tcPr>
          <w:p w14:paraId="50F24AA8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Frecuencia de medición</w:t>
            </w:r>
          </w:p>
        </w:tc>
        <w:tc>
          <w:tcPr>
            <w:tcW w:w="7915" w:type="dxa"/>
          </w:tcPr>
          <w:p w14:paraId="00E9DFDA" w14:textId="04D06766" w:rsidR="004E4367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 xml:space="preserve">Nivel </w:t>
            </w:r>
            <w:r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nacional</w:t>
            </w: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  <w:p w14:paraId="7A26EAAA" w14:textId="273D5469" w:rsidR="0085735D" w:rsidRPr="00152C6C" w:rsidRDefault="004E4367" w:rsidP="004E4367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4E4367">
              <w:rPr>
                <w:rFonts w:cstheme="minorHAnsi"/>
                <w:b/>
                <w:i/>
                <w:iCs/>
                <w:sz w:val="16"/>
                <w:szCs w:val="16"/>
                <w:lang w:val="es-419"/>
              </w:rPr>
              <w:t>Nivel regional: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152C6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Anual, a fin de año</w:t>
            </w:r>
          </w:p>
        </w:tc>
      </w:tr>
      <w:tr w:rsidR="0085735D" w:rsidRPr="00D87366" w14:paraId="70CB2A64" w14:textId="77777777" w:rsidTr="00276E5A">
        <w:tc>
          <w:tcPr>
            <w:tcW w:w="1435" w:type="dxa"/>
            <w:shd w:val="clear" w:color="auto" w:fill="B3FFFF"/>
          </w:tcPr>
          <w:p w14:paraId="6848F47D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Zona de referencia</w:t>
            </w:r>
          </w:p>
        </w:tc>
        <w:tc>
          <w:tcPr>
            <w:tcW w:w="7915" w:type="dxa"/>
          </w:tcPr>
          <w:p w14:paraId="51D84490" w14:textId="77777777" w:rsidR="0085735D" w:rsidRPr="00152C6C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Países de América Latina y el Caribe</w:t>
            </w:r>
          </w:p>
        </w:tc>
      </w:tr>
      <w:tr w:rsidR="0085735D" w:rsidRPr="00567060" w14:paraId="21C2D4AB" w14:textId="77777777" w:rsidTr="00276E5A">
        <w:tc>
          <w:tcPr>
            <w:tcW w:w="1435" w:type="dxa"/>
            <w:shd w:val="clear" w:color="auto" w:fill="B3FFFF"/>
          </w:tcPr>
          <w:p w14:paraId="3D26359D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Período de referencia</w:t>
            </w:r>
          </w:p>
        </w:tc>
        <w:tc>
          <w:tcPr>
            <w:tcW w:w="7915" w:type="dxa"/>
          </w:tcPr>
          <w:p w14:paraId="7DE3A877" w14:textId="3B10B97F" w:rsidR="0085735D" w:rsidRPr="00152C6C" w:rsidRDefault="0049105E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 xml:space="preserve">Enero a diciembre de </w:t>
            </w:r>
            <w:r w:rsidRPr="00152C6C">
              <w:rPr>
                <w:rFonts w:cstheme="minorHAnsi"/>
                <w:i/>
                <w:iCs/>
                <w:sz w:val="16"/>
                <w:szCs w:val="16"/>
                <w:shd w:val="clear" w:color="auto" w:fill="F9F9F9"/>
                <w:lang w:val="es-419"/>
              </w:rPr>
              <w:t>2022</w:t>
            </w:r>
          </w:p>
        </w:tc>
      </w:tr>
      <w:tr w:rsidR="0085735D" w:rsidRPr="00D87366" w14:paraId="4D2372D3" w14:textId="77777777" w:rsidTr="00276E5A">
        <w:tc>
          <w:tcPr>
            <w:tcW w:w="1435" w:type="dxa"/>
            <w:shd w:val="clear" w:color="auto" w:fill="B3FFFF"/>
          </w:tcPr>
          <w:p w14:paraId="4A656C47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Desglose</w:t>
            </w:r>
          </w:p>
        </w:tc>
        <w:tc>
          <w:tcPr>
            <w:tcW w:w="7915" w:type="dxa"/>
          </w:tcPr>
          <w:p w14:paraId="2FF7B690" w14:textId="733D7425" w:rsidR="00563E6F" w:rsidRPr="00567060" w:rsidRDefault="0085735D" w:rsidP="00C97484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Categorías de análisis: </w:t>
            </w:r>
            <w:r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personal de salud y trabajadores comunitarios</w:t>
            </w:r>
            <w:r w:rsidR="00563E6F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, desagregado por </w:t>
            </w:r>
            <w:r w:rsidR="00563E6F" w:rsidRPr="00235088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sexo al nacer, </w:t>
            </w:r>
            <w:r w:rsidR="00563E6F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>grupos de edad</w:t>
            </w:r>
            <w:r w:rsidR="00C97484">
              <w:rPr>
                <w:rFonts w:cstheme="minorHAnsi"/>
                <w:i/>
                <w:iCs/>
                <w:sz w:val="16"/>
                <w:szCs w:val="16"/>
                <w:shd w:val="clear" w:color="auto" w:fill="FFFFFF"/>
                <w:lang w:val="es-419"/>
              </w:rPr>
              <w:t xml:space="preserve"> y tipo de capacitación recibida (clínica incluida salud mental, y no clínica)</w:t>
            </w:r>
          </w:p>
        </w:tc>
      </w:tr>
      <w:tr w:rsidR="0085735D" w:rsidRPr="00D87366" w14:paraId="67C110D1" w14:textId="77777777" w:rsidTr="00276E5A">
        <w:tc>
          <w:tcPr>
            <w:tcW w:w="1435" w:type="dxa"/>
            <w:shd w:val="clear" w:color="auto" w:fill="B3FFFF"/>
          </w:tcPr>
          <w:p w14:paraId="63F8F18D" w14:textId="4C4BC093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Fuente de datos</w:t>
            </w:r>
          </w:p>
        </w:tc>
        <w:tc>
          <w:tcPr>
            <w:tcW w:w="7915" w:type="dxa"/>
          </w:tcPr>
          <w:p w14:paraId="6205073A" w14:textId="11224A7A" w:rsidR="0085735D" w:rsidRPr="00235088" w:rsidRDefault="00EA7849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  <w:p w14:paraId="60579373" w14:textId="7F411B0E" w:rsidR="0085735D" w:rsidRPr="00235088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  <w:p w14:paraId="1AC08BD4" w14:textId="77777777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</w:p>
        </w:tc>
      </w:tr>
      <w:tr w:rsidR="0085735D" w:rsidRPr="00D87366" w14:paraId="5DE865AB" w14:textId="77777777" w:rsidTr="00276E5A">
        <w:tc>
          <w:tcPr>
            <w:tcW w:w="1435" w:type="dxa"/>
            <w:shd w:val="clear" w:color="auto" w:fill="B3FFFF"/>
          </w:tcPr>
          <w:p w14:paraId="74AF02BB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Limitaciones</w:t>
            </w:r>
          </w:p>
        </w:tc>
        <w:tc>
          <w:tcPr>
            <w:tcW w:w="7915" w:type="dxa"/>
          </w:tcPr>
          <w:p w14:paraId="7908B3D8" w14:textId="09F0E836" w:rsidR="0085735D" w:rsidRPr="00567060" w:rsidRDefault="0085735D" w:rsidP="0085735D">
            <w:pPr>
              <w:jc w:val="both"/>
              <w:rPr>
                <w:rFonts w:cstheme="minorHAnsi"/>
                <w:i/>
                <w:iCs/>
                <w:color w:val="C00000"/>
                <w:sz w:val="16"/>
                <w:szCs w:val="16"/>
                <w:lang w:val="es-419"/>
              </w:rPr>
            </w:pP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Existe la probabilidad que se duplique el número de personas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capacitadas, debido a que una persona puede recibir diferentes tipos de formaciones sobre un mismo tema</w:t>
            </w:r>
            <w:r w:rsidR="00E57DCE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 o distintos temas</w:t>
            </w:r>
            <w:r w:rsidRPr="00EA3B3C"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</w:tc>
      </w:tr>
      <w:tr w:rsidR="0085735D" w:rsidRPr="00D87366" w14:paraId="063001DB" w14:textId="77777777" w:rsidTr="00276E5A">
        <w:tc>
          <w:tcPr>
            <w:tcW w:w="1435" w:type="dxa"/>
            <w:shd w:val="clear" w:color="auto" w:fill="B3FFFF"/>
          </w:tcPr>
          <w:p w14:paraId="3791493B" w14:textId="77777777" w:rsidR="0085735D" w:rsidRPr="00567060" w:rsidRDefault="0085735D" w:rsidP="0085735D">
            <w:pPr>
              <w:jc w:val="center"/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</w:pPr>
            <w:r w:rsidRPr="00567060">
              <w:rPr>
                <w:rFonts w:cstheme="minorHAnsi"/>
                <w:b/>
                <w:bCs/>
                <w:color w:val="009999"/>
                <w:sz w:val="20"/>
                <w:szCs w:val="20"/>
                <w:lang w:val="es-419"/>
              </w:rPr>
              <w:t>Instituciones responsables de generar los datos</w:t>
            </w:r>
          </w:p>
        </w:tc>
        <w:tc>
          <w:tcPr>
            <w:tcW w:w="7915" w:type="dxa"/>
          </w:tcPr>
          <w:p w14:paraId="5BB33CCA" w14:textId="09C98673" w:rsidR="0085735D" w:rsidRPr="00152C6C" w:rsidRDefault="00EA7849" w:rsidP="00EA7849">
            <w:pPr>
              <w:jc w:val="both"/>
              <w:rPr>
                <w:rFonts w:cstheme="minorHAnsi"/>
                <w:i/>
                <w:iCs/>
                <w:sz w:val="16"/>
                <w:szCs w:val="16"/>
                <w:lang w:val="es-419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Organizaciones </w:t>
            </w:r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de Naciones Unidas, </w:t>
            </w:r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 xml:space="preserve">Sociedad Nacional de la Cruz Roja, y </w:t>
            </w:r>
            <w:proofErr w:type="spellStart"/>
            <w:r w:rsidRPr="00235088">
              <w:rPr>
                <w:rFonts w:cstheme="minorHAnsi"/>
                <w:i/>
                <w:iCs/>
                <w:sz w:val="16"/>
                <w:szCs w:val="16"/>
                <w:lang w:val="es-419"/>
              </w:rPr>
              <w:t>ONGs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  <w:lang w:val="es-419"/>
              </w:rPr>
              <w:t>.</w:t>
            </w:r>
          </w:p>
        </w:tc>
      </w:tr>
    </w:tbl>
    <w:p w14:paraId="02A6ADC7" w14:textId="79D567EC" w:rsidR="00650AAD" w:rsidRDefault="00650AAD" w:rsidP="0014369C">
      <w:pPr>
        <w:rPr>
          <w:i/>
          <w:iCs/>
          <w:lang w:val="es-PE"/>
        </w:rPr>
      </w:pPr>
    </w:p>
    <w:sectPr w:rsidR="0065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AE8B7" w14:textId="77777777" w:rsidR="008F274A" w:rsidRDefault="008F274A" w:rsidP="00EE409D">
      <w:pPr>
        <w:spacing w:after="0" w:line="240" w:lineRule="auto"/>
      </w:pPr>
      <w:r>
        <w:separator/>
      </w:r>
    </w:p>
  </w:endnote>
  <w:endnote w:type="continuationSeparator" w:id="0">
    <w:p w14:paraId="52E2C220" w14:textId="77777777" w:rsidR="008F274A" w:rsidRDefault="008F274A" w:rsidP="00E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D0A5" w14:textId="77777777" w:rsidR="008F274A" w:rsidRDefault="008F274A" w:rsidP="00EE409D">
      <w:pPr>
        <w:spacing w:after="0" w:line="240" w:lineRule="auto"/>
      </w:pPr>
      <w:r>
        <w:separator/>
      </w:r>
    </w:p>
  </w:footnote>
  <w:footnote w:type="continuationSeparator" w:id="0">
    <w:p w14:paraId="3C9C8240" w14:textId="77777777" w:rsidR="008F274A" w:rsidRDefault="008F274A" w:rsidP="00E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9B81" w14:textId="0DFC054F" w:rsidR="00EE409D" w:rsidRPr="001554C9" w:rsidRDefault="001554C9">
    <w:pPr>
      <w:pStyle w:val="Encabezado"/>
      <w:rPr>
        <w:lang w:val="es-419"/>
      </w:rPr>
    </w:pPr>
    <w:r>
      <w:rPr>
        <w:noProof/>
        <w:lang w:val="es-PE" w:eastAsia="es-PE"/>
      </w:rPr>
      <w:drawing>
        <wp:anchor distT="0" distB="0" distL="114300" distR="114300" simplePos="0" relativeHeight="251656704" behindDoc="1" locked="0" layoutInCell="1" allowOverlap="1" wp14:anchorId="6655F8D4" wp14:editId="49499939">
          <wp:simplePos x="0" y="0"/>
          <wp:positionH relativeFrom="column">
            <wp:posOffset>-17813</wp:posOffset>
          </wp:positionH>
          <wp:positionV relativeFrom="paragraph">
            <wp:posOffset>-279070</wp:posOffset>
          </wp:positionV>
          <wp:extent cx="5889551" cy="636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VID19_Head-Letter-VE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86"/>
                  <a:stretch/>
                </pic:blipFill>
                <pic:spPr bwMode="auto">
                  <a:xfrm>
                    <a:off x="0" y="0"/>
                    <a:ext cx="5983485" cy="646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2F4">
      <w:rPr>
        <w:b/>
        <w:bCs/>
        <w:color w:val="009999"/>
        <w:sz w:val="24"/>
        <w:szCs w:val="24"/>
        <w:lang w:val="es-419"/>
      </w:rPr>
      <w:t>Ficha para la descripción de indicadores del Sector Salud</w:t>
    </w:r>
    <w:r w:rsidRPr="001554C9">
      <w:rPr>
        <w:noProof/>
        <w:lang w:val="es-419" w:eastAsia="en-GB"/>
      </w:rPr>
      <w:t xml:space="preserve"> </w:t>
    </w:r>
  </w:p>
  <w:p w14:paraId="61FC6195" w14:textId="77777777" w:rsidR="00EE409D" w:rsidRPr="001554C9" w:rsidRDefault="00EE409D">
    <w:pPr>
      <w:pStyle w:val="Encabezado"/>
      <w:rPr>
        <w:lang w:val="es-419"/>
      </w:rPr>
    </w:pPr>
  </w:p>
  <w:p w14:paraId="5275FC53" w14:textId="483893F0" w:rsidR="00EE409D" w:rsidRPr="001554C9" w:rsidRDefault="00EE409D">
    <w:pPr>
      <w:pStyle w:val="Encabezado"/>
      <w:rPr>
        <w:lang w:val="es-4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0F66"/>
    <w:multiLevelType w:val="hybridMultilevel"/>
    <w:tmpl w:val="4AF860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9D"/>
    <w:rsid w:val="00004604"/>
    <w:rsid w:val="000B2BBC"/>
    <w:rsid w:val="000B4970"/>
    <w:rsid w:val="000E1E1D"/>
    <w:rsid w:val="000E23F1"/>
    <w:rsid w:val="000E63B4"/>
    <w:rsid w:val="000F36E3"/>
    <w:rsid w:val="00103C7F"/>
    <w:rsid w:val="0014369C"/>
    <w:rsid w:val="001519AB"/>
    <w:rsid w:val="00152C6C"/>
    <w:rsid w:val="001554C9"/>
    <w:rsid w:val="00193961"/>
    <w:rsid w:val="001A5EAF"/>
    <w:rsid w:val="001E490D"/>
    <w:rsid w:val="00235088"/>
    <w:rsid w:val="00235855"/>
    <w:rsid w:val="002820AB"/>
    <w:rsid w:val="002A4958"/>
    <w:rsid w:val="002B3C76"/>
    <w:rsid w:val="002B6614"/>
    <w:rsid w:val="002D2E46"/>
    <w:rsid w:val="002D6BD9"/>
    <w:rsid w:val="0030532E"/>
    <w:rsid w:val="00320EBC"/>
    <w:rsid w:val="0032172F"/>
    <w:rsid w:val="00323CF4"/>
    <w:rsid w:val="0033592E"/>
    <w:rsid w:val="003414B6"/>
    <w:rsid w:val="003511D4"/>
    <w:rsid w:val="003805FE"/>
    <w:rsid w:val="0038660C"/>
    <w:rsid w:val="003963B7"/>
    <w:rsid w:val="003B2629"/>
    <w:rsid w:val="004162FE"/>
    <w:rsid w:val="004542DC"/>
    <w:rsid w:val="0045759C"/>
    <w:rsid w:val="004749E4"/>
    <w:rsid w:val="0049105E"/>
    <w:rsid w:val="00494064"/>
    <w:rsid w:val="004B78D7"/>
    <w:rsid w:val="004C52F4"/>
    <w:rsid w:val="004E4367"/>
    <w:rsid w:val="004E7E9F"/>
    <w:rsid w:val="004F7B92"/>
    <w:rsid w:val="005113CF"/>
    <w:rsid w:val="005516C9"/>
    <w:rsid w:val="00563E6F"/>
    <w:rsid w:val="00565BF8"/>
    <w:rsid w:val="00567060"/>
    <w:rsid w:val="00567074"/>
    <w:rsid w:val="00581E1C"/>
    <w:rsid w:val="00593BC8"/>
    <w:rsid w:val="005A0BD1"/>
    <w:rsid w:val="005A1739"/>
    <w:rsid w:val="005B2233"/>
    <w:rsid w:val="005C7DB5"/>
    <w:rsid w:val="005D1833"/>
    <w:rsid w:val="005D3136"/>
    <w:rsid w:val="005E09A3"/>
    <w:rsid w:val="00625F05"/>
    <w:rsid w:val="00637700"/>
    <w:rsid w:val="00646E2C"/>
    <w:rsid w:val="00650AAD"/>
    <w:rsid w:val="0066029F"/>
    <w:rsid w:val="00661DEB"/>
    <w:rsid w:val="00665E75"/>
    <w:rsid w:val="006801C6"/>
    <w:rsid w:val="006958BA"/>
    <w:rsid w:val="006B4B50"/>
    <w:rsid w:val="006C40C8"/>
    <w:rsid w:val="006C6902"/>
    <w:rsid w:val="006E34C0"/>
    <w:rsid w:val="006F3A85"/>
    <w:rsid w:val="007115DB"/>
    <w:rsid w:val="007604E9"/>
    <w:rsid w:val="00780E81"/>
    <w:rsid w:val="007872A7"/>
    <w:rsid w:val="007B1DD0"/>
    <w:rsid w:val="007B2EB4"/>
    <w:rsid w:val="007B5064"/>
    <w:rsid w:val="007C76BA"/>
    <w:rsid w:val="007F0230"/>
    <w:rsid w:val="007F2EC5"/>
    <w:rsid w:val="0082446B"/>
    <w:rsid w:val="008268BA"/>
    <w:rsid w:val="00844CEF"/>
    <w:rsid w:val="0085571A"/>
    <w:rsid w:val="00856723"/>
    <w:rsid w:val="0085735D"/>
    <w:rsid w:val="00862671"/>
    <w:rsid w:val="00863673"/>
    <w:rsid w:val="00873758"/>
    <w:rsid w:val="00882F58"/>
    <w:rsid w:val="0088474E"/>
    <w:rsid w:val="0088719C"/>
    <w:rsid w:val="008A6477"/>
    <w:rsid w:val="008C76D1"/>
    <w:rsid w:val="008C7CF8"/>
    <w:rsid w:val="008D395A"/>
    <w:rsid w:val="008E7037"/>
    <w:rsid w:val="008F274A"/>
    <w:rsid w:val="00901420"/>
    <w:rsid w:val="00916B37"/>
    <w:rsid w:val="00917D22"/>
    <w:rsid w:val="00923501"/>
    <w:rsid w:val="00935B3C"/>
    <w:rsid w:val="009403A2"/>
    <w:rsid w:val="00962E65"/>
    <w:rsid w:val="009A755A"/>
    <w:rsid w:val="009B4540"/>
    <w:rsid w:val="009B5D02"/>
    <w:rsid w:val="009D3510"/>
    <w:rsid w:val="009F5C17"/>
    <w:rsid w:val="00A106D6"/>
    <w:rsid w:val="00A107BE"/>
    <w:rsid w:val="00A153FF"/>
    <w:rsid w:val="00A221CF"/>
    <w:rsid w:val="00A23648"/>
    <w:rsid w:val="00A31C16"/>
    <w:rsid w:val="00A62F93"/>
    <w:rsid w:val="00A811FF"/>
    <w:rsid w:val="00A879DE"/>
    <w:rsid w:val="00A90C02"/>
    <w:rsid w:val="00A94DF8"/>
    <w:rsid w:val="00AC5EBB"/>
    <w:rsid w:val="00AC65A1"/>
    <w:rsid w:val="00AD5410"/>
    <w:rsid w:val="00AD7579"/>
    <w:rsid w:val="00B07851"/>
    <w:rsid w:val="00B20FDC"/>
    <w:rsid w:val="00B21BA1"/>
    <w:rsid w:val="00B66A54"/>
    <w:rsid w:val="00B93CB2"/>
    <w:rsid w:val="00BB4CB4"/>
    <w:rsid w:val="00BB6192"/>
    <w:rsid w:val="00BD41A2"/>
    <w:rsid w:val="00BD700F"/>
    <w:rsid w:val="00BF214E"/>
    <w:rsid w:val="00C40BB3"/>
    <w:rsid w:val="00C54218"/>
    <w:rsid w:val="00C6449F"/>
    <w:rsid w:val="00C662AE"/>
    <w:rsid w:val="00C97484"/>
    <w:rsid w:val="00CE311B"/>
    <w:rsid w:val="00D0393E"/>
    <w:rsid w:val="00D17A6D"/>
    <w:rsid w:val="00D23BEF"/>
    <w:rsid w:val="00D31BDE"/>
    <w:rsid w:val="00D43CBC"/>
    <w:rsid w:val="00D479ED"/>
    <w:rsid w:val="00D6394A"/>
    <w:rsid w:val="00D87366"/>
    <w:rsid w:val="00DA67F8"/>
    <w:rsid w:val="00DD5AC7"/>
    <w:rsid w:val="00DE3968"/>
    <w:rsid w:val="00DE69B1"/>
    <w:rsid w:val="00DF5AC8"/>
    <w:rsid w:val="00E33017"/>
    <w:rsid w:val="00E54B8A"/>
    <w:rsid w:val="00E57DCE"/>
    <w:rsid w:val="00E64D5B"/>
    <w:rsid w:val="00E8212F"/>
    <w:rsid w:val="00E8725E"/>
    <w:rsid w:val="00E91F17"/>
    <w:rsid w:val="00E93EF1"/>
    <w:rsid w:val="00EA280E"/>
    <w:rsid w:val="00EA360A"/>
    <w:rsid w:val="00EA3B3C"/>
    <w:rsid w:val="00EA64F2"/>
    <w:rsid w:val="00EA7849"/>
    <w:rsid w:val="00EB3B12"/>
    <w:rsid w:val="00EE2BF2"/>
    <w:rsid w:val="00EE409D"/>
    <w:rsid w:val="00F11F41"/>
    <w:rsid w:val="00F73F23"/>
    <w:rsid w:val="00F770A0"/>
    <w:rsid w:val="00F9696F"/>
    <w:rsid w:val="00FB6228"/>
    <w:rsid w:val="00FC06E1"/>
    <w:rsid w:val="00FD0A1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90E7"/>
  <w15:chartTrackingRefBased/>
  <w15:docId w15:val="{53026319-A3AF-461D-9946-E6E5630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09D"/>
  </w:style>
  <w:style w:type="paragraph" w:styleId="Piedepgina">
    <w:name w:val="footer"/>
    <w:basedOn w:val="Normal"/>
    <w:link w:val="PiedepginaCar"/>
    <w:uiPriority w:val="99"/>
    <w:unhideWhenUsed/>
    <w:rsid w:val="00EE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09D"/>
  </w:style>
  <w:style w:type="table" w:styleId="Tablaconcuadrcula">
    <w:name w:val="Table Grid"/>
    <w:basedOn w:val="Tablanormal"/>
    <w:uiPriority w:val="39"/>
    <w:rsid w:val="004C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2493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 GUIA, Adriana</dc:creator>
  <cp:keywords/>
  <dc:description/>
  <cp:lastModifiedBy>CELSO</cp:lastModifiedBy>
  <cp:revision>58</cp:revision>
  <dcterms:created xsi:type="dcterms:W3CDTF">2021-08-02T18:36:00Z</dcterms:created>
  <dcterms:modified xsi:type="dcterms:W3CDTF">2021-09-02T00:33:00Z</dcterms:modified>
</cp:coreProperties>
</file>